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3E242C" w14:paraId="2BC145B8" w14:textId="77777777" w:rsidTr="00247523">
        <w:tc>
          <w:tcPr>
            <w:tcW w:w="6684" w:type="dxa"/>
          </w:tcPr>
          <w:p w14:paraId="117D9744" w14:textId="62A4210A" w:rsidR="006F40BC" w:rsidRPr="003E242C" w:rsidRDefault="006F40BC" w:rsidP="006F40BC">
            <w:pPr>
              <w:tabs>
                <w:tab w:val="right" w:pos="10000"/>
              </w:tabs>
              <w:spacing w:after="0"/>
              <w:rPr>
                <w:b/>
                <w:sz w:val="22"/>
                <w:szCs w:val="24"/>
              </w:rPr>
            </w:pPr>
            <w:r w:rsidRPr="003E242C">
              <w:rPr>
                <w:b/>
                <w:sz w:val="22"/>
                <w:szCs w:val="24"/>
              </w:rPr>
              <w:t>3GPP TSG-RAN WG1 Meeting #</w:t>
            </w:r>
            <w:r w:rsidR="00782900" w:rsidRPr="003E242C">
              <w:rPr>
                <w:b/>
                <w:sz w:val="22"/>
                <w:szCs w:val="24"/>
              </w:rPr>
              <w:t>10</w:t>
            </w:r>
            <w:r w:rsidR="004C4AE6">
              <w:rPr>
                <w:b/>
                <w:sz w:val="22"/>
                <w:szCs w:val="24"/>
              </w:rPr>
              <w:t>7</w:t>
            </w:r>
            <w:r w:rsidR="00C1073D">
              <w:rPr>
                <w:b/>
                <w:sz w:val="22"/>
                <w:szCs w:val="24"/>
              </w:rPr>
              <w:t>-</w:t>
            </w:r>
            <w:r w:rsidR="00A559FB" w:rsidRPr="003E242C">
              <w:rPr>
                <w:b/>
                <w:sz w:val="22"/>
                <w:szCs w:val="24"/>
              </w:rPr>
              <w:t>e</w:t>
            </w:r>
          </w:p>
          <w:p w14:paraId="1EC84673" w14:textId="2C449159" w:rsidR="006F40BC" w:rsidRPr="003E242C" w:rsidRDefault="005F6F46" w:rsidP="006F40BC">
            <w:pPr>
              <w:pStyle w:val="Footer"/>
              <w:jc w:val="both"/>
              <w:rPr>
                <w:rFonts w:ascii="Times New Roman" w:hAnsi="Times New Roman"/>
                <w:b w:val="0"/>
                <w:sz w:val="22"/>
                <w:szCs w:val="24"/>
              </w:rPr>
            </w:pPr>
            <w:r w:rsidRPr="003E242C">
              <w:rPr>
                <w:rFonts w:ascii="Times New Roman" w:hAnsi="Times New Roman"/>
                <w:i w:val="0"/>
                <w:noProof w:val="0"/>
                <w:sz w:val="22"/>
                <w:szCs w:val="24"/>
              </w:rPr>
              <w:t>e-Meeting</w:t>
            </w:r>
            <w:r w:rsidR="006F40BC" w:rsidRPr="003E242C">
              <w:rPr>
                <w:rFonts w:ascii="Times New Roman" w:hAnsi="Times New Roman"/>
                <w:i w:val="0"/>
                <w:noProof w:val="0"/>
                <w:sz w:val="22"/>
                <w:szCs w:val="24"/>
              </w:rPr>
              <w:t xml:space="preserve">, </w:t>
            </w:r>
            <w:r w:rsidR="004C4AE6">
              <w:rPr>
                <w:rFonts w:ascii="Times New Roman" w:hAnsi="Times New Roman"/>
                <w:i w:val="0"/>
                <w:noProof w:val="0"/>
                <w:sz w:val="22"/>
                <w:szCs w:val="24"/>
              </w:rPr>
              <w:t>November</w:t>
            </w:r>
            <w:r w:rsidR="007D06D9">
              <w:rPr>
                <w:rFonts w:ascii="Times New Roman" w:hAnsi="Times New Roman"/>
                <w:i w:val="0"/>
                <w:noProof w:val="0"/>
                <w:sz w:val="22"/>
                <w:szCs w:val="24"/>
              </w:rPr>
              <w:t xml:space="preserve"> 11</w:t>
            </w:r>
            <w:r w:rsidR="000A5D31" w:rsidRPr="000A5D31">
              <w:rPr>
                <w:rFonts w:ascii="Times New Roman" w:hAnsi="Times New Roman"/>
                <w:i w:val="0"/>
                <w:noProof w:val="0"/>
                <w:sz w:val="22"/>
                <w:szCs w:val="24"/>
              </w:rPr>
              <w:t xml:space="preserve">th – </w:t>
            </w:r>
            <w:r w:rsidR="007D06D9">
              <w:rPr>
                <w:rFonts w:ascii="Times New Roman" w:hAnsi="Times New Roman"/>
                <w:i w:val="0"/>
                <w:noProof w:val="0"/>
                <w:sz w:val="22"/>
                <w:szCs w:val="24"/>
              </w:rPr>
              <w:t>19</w:t>
            </w:r>
            <w:r w:rsidR="000A5D31" w:rsidRPr="000A5D31">
              <w:rPr>
                <w:rFonts w:ascii="Times New Roman" w:hAnsi="Times New Roman"/>
                <w:i w:val="0"/>
                <w:noProof w:val="0"/>
                <w:sz w:val="22"/>
                <w:szCs w:val="24"/>
              </w:rPr>
              <w:t>th, 2021</w:t>
            </w:r>
          </w:p>
        </w:tc>
        <w:tc>
          <w:tcPr>
            <w:tcW w:w="2766" w:type="dxa"/>
          </w:tcPr>
          <w:p w14:paraId="04437A8E" w14:textId="59914C39" w:rsidR="006F40BC" w:rsidRPr="003E242C" w:rsidRDefault="00DA1737" w:rsidP="009F33E3">
            <w:pPr>
              <w:tabs>
                <w:tab w:val="right" w:pos="10000"/>
              </w:tabs>
              <w:spacing w:after="0"/>
              <w:jc w:val="right"/>
              <w:rPr>
                <w:bCs/>
                <w:sz w:val="22"/>
                <w:szCs w:val="24"/>
              </w:rPr>
            </w:pPr>
            <w:r w:rsidRPr="00DA1737">
              <w:rPr>
                <w:b/>
                <w:sz w:val="22"/>
                <w:szCs w:val="24"/>
              </w:rPr>
              <w:t>R1-2112233</w:t>
            </w:r>
          </w:p>
        </w:tc>
      </w:tr>
    </w:tbl>
    <w:p w14:paraId="24B66D98" w14:textId="77777777" w:rsidR="00746535" w:rsidRPr="003E242C" w:rsidRDefault="00746535" w:rsidP="00746535">
      <w:pPr>
        <w:pStyle w:val="Footer"/>
        <w:jc w:val="both"/>
        <w:rPr>
          <w:rFonts w:ascii="Times New Roman" w:hAnsi="Times New Roman"/>
          <w:noProof w:val="0"/>
          <w:sz w:val="16"/>
        </w:rPr>
      </w:pPr>
      <w:bookmarkStart w:id="0" w:name="_Hlk495298459"/>
    </w:p>
    <w:p w14:paraId="0597369D" w14:textId="00043A7B" w:rsidR="00746535" w:rsidRPr="003E242C" w:rsidRDefault="00746535" w:rsidP="00746535">
      <w:pPr>
        <w:tabs>
          <w:tab w:val="left" w:pos="1985"/>
        </w:tabs>
        <w:jc w:val="both"/>
        <w:rPr>
          <w:sz w:val="22"/>
        </w:rPr>
      </w:pPr>
      <w:r w:rsidRPr="003E242C">
        <w:rPr>
          <w:b/>
          <w:sz w:val="22"/>
        </w:rPr>
        <w:t>Agenda item:</w:t>
      </w:r>
      <w:r w:rsidRPr="003E242C">
        <w:rPr>
          <w:sz w:val="22"/>
        </w:rPr>
        <w:tab/>
      </w:r>
      <w:r w:rsidR="00563E7A" w:rsidRPr="003E242C">
        <w:rPr>
          <w:sz w:val="22"/>
        </w:rPr>
        <w:t>8</w:t>
      </w:r>
      <w:r w:rsidRPr="003E242C">
        <w:rPr>
          <w:sz w:val="22"/>
        </w:rPr>
        <w:t>.</w:t>
      </w:r>
      <w:r w:rsidR="009320D5" w:rsidRPr="003E242C">
        <w:rPr>
          <w:sz w:val="22"/>
        </w:rPr>
        <w:t>8</w:t>
      </w:r>
      <w:r w:rsidRPr="003E242C">
        <w:rPr>
          <w:sz w:val="22"/>
        </w:rPr>
        <w:t>.</w:t>
      </w:r>
      <w:r w:rsidR="00CF2476" w:rsidRPr="003E242C">
        <w:rPr>
          <w:sz w:val="22"/>
        </w:rPr>
        <w:t>2</w:t>
      </w:r>
    </w:p>
    <w:p w14:paraId="1516E913" w14:textId="77777777" w:rsidR="00746535" w:rsidRPr="003E242C" w:rsidRDefault="00746535" w:rsidP="00746535">
      <w:pPr>
        <w:tabs>
          <w:tab w:val="left" w:pos="1985"/>
        </w:tabs>
        <w:jc w:val="both"/>
        <w:rPr>
          <w:sz w:val="22"/>
        </w:rPr>
      </w:pPr>
      <w:r w:rsidRPr="003E242C">
        <w:rPr>
          <w:b/>
          <w:sz w:val="22"/>
        </w:rPr>
        <w:t xml:space="preserve">Source: </w:t>
      </w:r>
      <w:r w:rsidRPr="003E242C">
        <w:rPr>
          <w:b/>
          <w:sz w:val="22"/>
        </w:rPr>
        <w:tab/>
      </w:r>
      <w:r w:rsidRPr="003E242C">
        <w:rPr>
          <w:sz w:val="22"/>
        </w:rPr>
        <w:t>Qualcomm Incorporated</w:t>
      </w:r>
    </w:p>
    <w:p w14:paraId="2AF82EAF" w14:textId="2E87A62D" w:rsidR="00746535" w:rsidRPr="003E242C" w:rsidRDefault="00746535" w:rsidP="00746535">
      <w:pPr>
        <w:ind w:left="1988" w:hanging="1988"/>
        <w:rPr>
          <w:sz w:val="22"/>
        </w:rPr>
      </w:pPr>
      <w:r w:rsidRPr="003E242C">
        <w:rPr>
          <w:b/>
          <w:sz w:val="24"/>
        </w:rPr>
        <w:t>Title:</w:t>
      </w:r>
      <w:r w:rsidRPr="003E242C">
        <w:rPr>
          <w:sz w:val="24"/>
        </w:rPr>
        <w:t xml:space="preserve"> </w:t>
      </w:r>
      <w:r w:rsidRPr="003E242C">
        <w:rPr>
          <w:sz w:val="22"/>
        </w:rPr>
        <w:tab/>
      </w:r>
      <w:r w:rsidR="00CF2476" w:rsidRPr="003E242C">
        <w:t xml:space="preserve"> </w:t>
      </w:r>
      <w:r w:rsidR="00CF2476" w:rsidRPr="003E242C">
        <w:rPr>
          <w:sz w:val="22"/>
        </w:rPr>
        <w:t>PUCCH</w:t>
      </w:r>
      <w:r w:rsidR="000958AF" w:rsidRPr="003E242C">
        <w:rPr>
          <w:sz w:val="22"/>
        </w:rPr>
        <w:t xml:space="preserve"> </w:t>
      </w:r>
      <w:r w:rsidR="00CF2476" w:rsidRPr="003E242C">
        <w:rPr>
          <w:sz w:val="22"/>
        </w:rPr>
        <w:t>enhancements</w:t>
      </w:r>
    </w:p>
    <w:bookmarkEnd w:id="0"/>
    <w:p w14:paraId="0E23AC92" w14:textId="77777777" w:rsidR="00746535" w:rsidRPr="003E242C" w:rsidRDefault="00746535" w:rsidP="00746535">
      <w:pPr>
        <w:ind w:left="1988" w:hanging="1988"/>
        <w:jc w:val="both"/>
        <w:rPr>
          <w:sz w:val="22"/>
        </w:rPr>
      </w:pPr>
      <w:r w:rsidRPr="003E242C">
        <w:rPr>
          <w:b/>
          <w:sz w:val="22"/>
        </w:rPr>
        <w:t>Document for:</w:t>
      </w:r>
      <w:r w:rsidRPr="003E242C">
        <w:rPr>
          <w:sz w:val="22"/>
        </w:rPr>
        <w:tab/>
        <w:t>Discussion/Decision</w:t>
      </w:r>
    </w:p>
    <w:p w14:paraId="09A00AF9" w14:textId="630C8C84" w:rsidR="00746535" w:rsidRPr="003E242C" w:rsidRDefault="00746535" w:rsidP="00746535">
      <w:pPr>
        <w:pStyle w:val="Heading1"/>
        <w:rPr>
          <w:rFonts w:ascii="Times New Roman" w:hAnsi="Times New Roman"/>
          <w:lang w:val="en-US"/>
        </w:rPr>
      </w:pPr>
      <w:r w:rsidRPr="003E242C">
        <w:rPr>
          <w:rFonts w:ascii="Times New Roman" w:hAnsi="Times New Roman"/>
          <w:lang w:val="en-US"/>
        </w:rPr>
        <w:t>Introduction</w:t>
      </w:r>
    </w:p>
    <w:p w14:paraId="13C0EB0E" w14:textId="2B676081" w:rsidR="008E7DDF" w:rsidRPr="003E242C" w:rsidRDefault="008E7DDF" w:rsidP="000958AF">
      <w:pPr>
        <w:jc w:val="both"/>
      </w:pPr>
      <w:r w:rsidRPr="003E242C">
        <w:t>RAN #9</w:t>
      </w:r>
      <w:r w:rsidR="00F33D11">
        <w:t>1</w:t>
      </w:r>
      <w:r w:rsidRPr="003E242C">
        <w:t xml:space="preserve">e agreed on enhancements for extending coverage of PUCCH </w:t>
      </w:r>
      <w:r w:rsidRPr="003E242C">
        <w:fldChar w:fldCharType="begin"/>
      </w:r>
      <w:r w:rsidRPr="003E242C">
        <w:instrText xml:space="preserve"> REF _Ref40432871 \r \h </w:instrText>
      </w:r>
      <w:r w:rsidR="003E242C">
        <w:instrText xml:space="preserve"> \* MERGEFORMAT </w:instrText>
      </w:r>
      <w:r w:rsidRPr="003E242C">
        <w:fldChar w:fldCharType="separate"/>
      </w:r>
      <w:r w:rsidR="00A86351">
        <w:t>[1]</w:t>
      </w:r>
      <w:r w:rsidRPr="003E242C">
        <w:fldChar w:fldCharType="end"/>
      </w:r>
      <w:r w:rsidRPr="003E242C">
        <w:t xml:space="preserve"> by dynamic indication of PUCCH repetition factor and DMRS bundling across PUCCH repetitions. </w:t>
      </w:r>
    </w:p>
    <w:tbl>
      <w:tblPr>
        <w:tblStyle w:val="TableGrid"/>
        <w:tblW w:w="0" w:type="auto"/>
        <w:tblLook w:val="04A0" w:firstRow="1" w:lastRow="0" w:firstColumn="1" w:lastColumn="0" w:noHBand="0" w:noVBand="1"/>
      </w:tblPr>
      <w:tblGrid>
        <w:gridCol w:w="9350"/>
      </w:tblGrid>
      <w:tr w:rsidR="007D5972" w14:paraId="626DBB36" w14:textId="77777777" w:rsidTr="007D5972">
        <w:tc>
          <w:tcPr>
            <w:tcW w:w="9350" w:type="dxa"/>
          </w:tcPr>
          <w:p w14:paraId="44923C1C" w14:textId="77777777" w:rsidR="007D5972" w:rsidRDefault="007D5972" w:rsidP="007D5972">
            <w:pPr>
              <w:numPr>
                <w:ilvl w:val="0"/>
                <w:numId w:val="43"/>
              </w:numPr>
              <w:overflowPunct/>
              <w:autoSpaceDE/>
              <w:autoSpaceDN/>
              <w:adjustRightInd/>
              <w:spacing w:before="120" w:after="120" w:line="276" w:lineRule="auto"/>
              <w:jc w:val="both"/>
              <w:textAlignment w:val="auto"/>
              <w:rPr>
                <w:lang w:val="en-US" w:eastAsia="zh-CN"/>
              </w:rPr>
            </w:pPr>
            <w:r>
              <w:rPr>
                <w:rFonts w:hint="eastAsia"/>
                <w:lang w:val="en-US" w:eastAsia="zh-CN"/>
              </w:rPr>
              <w:t>S</w:t>
            </w:r>
            <w:r>
              <w:rPr>
                <w:lang w:val="en-US" w:eastAsia="zh-CN"/>
              </w:rPr>
              <w:t>pecification of PUCCH enhancements [RAN1, RAN4]</w:t>
            </w:r>
          </w:p>
          <w:p w14:paraId="604EBC4D" w14:textId="77777777" w:rsidR="007D5972" w:rsidRDefault="007D5972" w:rsidP="007D5972">
            <w:pPr>
              <w:numPr>
                <w:ilvl w:val="1"/>
                <w:numId w:val="43"/>
              </w:numPr>
              <w:overflowPunct/>
              <w:autoSpaceDE/>
              <w:autoSpaceDN/>
              <w:adjustRightInd/>
              <w:spacing w:before="120" w:after="120" w:line="276" w:lineRule="auto"/>
              <w:jc w:val="both"/>
              <w:textAlignment w:val="auto"/>
              <w:rPr>
                <w:lang w:val="en-US" w:eastAsia="zh-CN"/>
              </w:rPr>
            </w:pPr>
            <w:r>
              <w:rPr>
                <w:lang w:val="en-US" w:eastAsia="zh-CN"/>
              </w:rPr>
              <w:t>Specify signaling mechanism to support d</w:t>
            </w:r>
            <w:proofErr w:type="spellStart"/>
            <w:r w:rsidRPr="003D64B9">
              <w:t>ynamic</w:t>
            </w:r>
            <w:proofErr w:type="spellEnd"/>
            <w:r w:rsidRPr="003D64B9">
              <w:t xml:space="preserve"> PUCCH repetition factor indication</w:t>
            </w:r>
            <w:r>
              <w:t xml:space="preserve"> [RAN1]</w:t>
            </w:r>
          </w:p>
          <w:p w14:paraId="479AB67B" w14:textId="77777777" w:rsidR="007D5972" w:rsidRPr="001D6833" w:rsidRDefault="007D5972" w:rsidP="007D5972">
            <w:pPr>
              <w:numPr>
                <w:ilvl w:val="1"/>
                <w:numId w:val="43"/>
              </w:numPr>
              <w:overflowPunct/>
              <w:autoSpaceDE/>
              <w:autoSpaceDN/>
              <w:adjustRightInd/>
              <w:spacing w:before="120" w:after="120" w:line="276" w:lineRule="auto"/>
              <w:jc w:val="both"/>
              <w:textAlignment w:val="auto"/>
              <w:rPr>
                <w:lang w:val="en-US" w:eastAsia="zh-CN"/>
              </w:rPr>
            </w:pPr>
            <w:r w:rsidRPr="00021BC7">
              <w:rPr>
                <w:lang w:val="en-US" w:eastAsia="zh-CN"/>
              </w:rPr>
              <w:t>Specify mechanism to support DMRS bundling across PUCCH repetitions [RAN1, RAN4]</w:t>
            </w:r>
          </w:p>
          <w:p w14:paraId="0779B051" w14:textId="6CD4BFFB" w:rsidR="007D5972" w:rsidRPr="007D5972" w:rsidRDefault="007D5972" w:rsidP="00DD5D8D">
            <w:pPr>
              <w:numPr>
                <w:ilvl w:val="2"/>
                <w:numId w:val="43"/>
              </w:numPr>
              <w:overflowPunct/>
              <w:autoSpaceDE/>
              <w:autoSpaceDN/>
              <w:adjustRightInd/>
              <w:spacing w:before="120" w:after="120" w:line="276" w:lineRule="auto"/>
              <w:jc w:val="both"/>
              <w:textAlignment w:val="auto"/>
            </w:pPr>
            <w:r w:rsidRPr="00021BC7">
              <w:t>When applicable, based on similar mechanism(s) for enabling joint channel estimation for PUSCH</w:t>
            </w:r>
          </w:p>
        </w:tc>
      </w:tr>
    </w:tbl>
    <w:p w14:paraId="44B5727A" w14:textId="77C891DC" w:rsidR="007D5972" w:rsidRDefault="007D5972" w:rsidP="000958AF">
      <w:pPr>
        <w:jc w:val="both"/>
      </w:pPr>
    </w:p>
    <w:p w14:paraId="488469BB" w14:textId="004F3032" w:rsidR="0047544E" w:rsidRPr="003E242C" w:rsidRDefault="00332A3F" w:rsidP="000E63F2">
      <w:r>
        <w:t xml:space="preserve">Agreements made in RAN1-104-e, RAN1-105-e, and RAN1-106-e are included in the </w:t>
      </w:r>
      <w:proofErr w:type="spellStart"/>
      <w:proofErr w:type="gramStart"/>
      <w:r>
        <w:t>appendix</w:t>
      </w:r>
      <w:r w:rsidR="003A033D">
        <w:t>.</w:t>
      </w:r>
      <w:r w:rsidR="00B34E45" w:rsidRPr="0076063A">
        <w:t>We</w:t>
      </w:r>
      <w:proofErr w:type="spellEnd"/>
      <w:proofErr w:type="gramEnd"/>
      <w:r w:rsidR="00B34E45" w:rsidRPr="0076063A">
        <w:t xml:space="preserve"> now present our views on enhancement techniques that are currently under discussion for PUCCH.</w:t>
      </w:r>
    </w:p>
    <w:p w14:paraId="270DA66D" w14:textId="4BD641A3" w:rsidR="00C37C05" w:rsidRPr="003E242C" w:rsidRDefault="000958AF" w:rsidP="00746535">
      <w:pPr>
        <w:pStyle w:val="Heading1"/>
        <w:rPr>
          <w:rFonts w:ascii="Times New Roman" w:hAnsi="Times New Roman"/>
          <w:lang w:val="en-US"/>
        </w:rPr>
      </w:pPr>
      <w:r w:rsidRPr="003E242C">
        <w:rPr>
          <w:rFonts w:ascii="Times New Roman" w:hAnsi="Times New Roman"/>
          <w:lang w:val="en-US"/>
        </w:rPr>
        <w:t>Dynamic Indication of PUCCH Repetition Factor</w:t>
      </w:r>
    </w:p>
    <w:p w14:paraId="7130E160" w14:textId="056E674F" w:rsidR="006824DF" w:rsidRPr="00F34A4F" w:rsidRDefault="006824DF" w:rsidP="009F33E3">
      <w:pPr>
        <w:jc w:val="both"/>
      </w:pPr>
      <w:r w:rsidRPr="00F34A4F">
        <w:t xml:space="preserve">A main concern about </w:t>
      </w:r>
      <w:r w:rsidR="00176F46" w:rsidRPr="00176F46">
        <w:t>enhancing RRC signaling to allow configuration of PUCCH repetition factor per PUCCH resource</w:t>
      </w:r>
      <w:r w:rsidR="00176F46">
        <w:t xml:space="preserve"> is </w:t>
      </w:r>
      <w:r w:rsidR="00FA55AD">
        <w:t xml:space="preserve">that the total number of PUCCH resources may be not enough and this approach may reduce flexibility of </w:t>
      </w:r>
      <w:proofErr w:type="spellStart"/>
      <w:r w:rsidR="00FA55AD">
        <w:t>gNB</w:t>
      </w:r>
      <w:proofErr w:type="spellEnd"/>
      <w:r w:rsidR="00FA55AD">
        <w:t xml:space="preserve"> for selecting </w:t>
      </w:r>
      <w:r w:rsidR="00776146">
        <w:t>the PUCCH resource. To address this concern, we can increase the total number of PUCCH resources and use other parameters (</w:t>
      </w:r>
      <w:r w:rsidR="00776146" w:rsidRPr="00776146">
        <w:t>in addition to PRI and starting CCE index</w:t>
      </w:r>
      <w:r w:rsidR="008B5E07">
        <w:t>)</w:t>
      </w:r>
      <w:r w:rsidR="00776146" w:rsidRPr="00776146">
        <w:t xml:space="preserve"> to indicate the PUCCH resource</w:t>
      </w:r>
      <w:r w:rsidR="00776146">
        <w:t>.</w:t>
      </w:r>
    </w:p>
    <w:p w14:paraId="303D8388" w14:textId="2D16A8CD" w:rsidR="00CB2F81" w:rsidRDefault="00CB2F81" w:rsidP="009F33E3">
      <w:pPr>
        <w:jc w:val="both"/>
      </w:pPr>
      <w:bookmarkStart w:id="1" w:name="_Hlk87003282"/>
      <w:r w:rsidRPr="00F34A4F">
        <w:rPr>
          <w:b/>
          <w:bCs/>
        </w:rPr>
        <w:t xml:space="preserve">Proposal </w:t>
      </w:r>
      <w:r w:rsidR="00FE479D">
        <w:rPr>
          <w:b/>
          <w:bCs/>
        </w:rPr>
        <w:t>1</w:t>
      </w:r>
      <w:r w:rsidRPr="00F34A4F">
        <w:rPr>
          <w:b/>
          <w:bCs/>
        </w:rPr>
        <w:t>:</w:t>
      </w:r>
      <w:r w:rsidRPr="00CB2F81">
        <w:t xml:space="preserve"> </w:t>
      </w:r>
      <w:r w:rsidR="005F01E1">
        <w:t xml:space="preserve">Support </w:t>
      </w:r>
      <w:r w:rsidR="0071169D">
        <w:t>a</w:t>
      </w:r>
      <w:r w:rsidRPr="00CB2F81">
        <w:t>lso using other properties of PDCCH (</w:t>
      </w:r>
      <w:proofErr w:type="gramStart"/>
      <w:r w:rsidRPr="00CB2F81">
        <w:t>e.g.</w:t>
      </w:r>
      <w:proofErr w:type="gramEnd"/>
      <w:r w:rsidRPr="00CB2F81">
        <w:t xml:space="preserve"> PDCCH aggregation level), </w:t>
      </w:r>
      <w:bookmarkStart w:id="2" w:name="_Hlk79057964"/>
      <w:r w:rsidRPr="00CB2F81">
        <w:t>in addition to PRI and starting CCE index, to indicate the PUCCH resource</w:t>
      </w:r>
      <w:bookmarkEnd w:id="2"/>
      <w:r w:rsidRPr="00CB2F81">
        <w:t>.</w:t>
      </w:r>
    </w:p>
    <w:p w14:paraId="080BEE25" w14:textId="3B07B9FD" w:rsidR="00845CA5" w:rsidRDefault="0044724E" w:rsidP="009F33E3">
      <w:pPr>
        <w:jc w:val="both"/>
      </w:pPr>
      <w:r>
        <w:t>The above</w:t>
      </w:r>
      <w:r w:rsidR="00231D26">
        <w:t xml:space="preserve"> approach </w:t>
      </w:r>
      <w:r>
        <w:t>supports dynamic</w:t>
      </w:r>
      <w:r w:rsidR="00231D26">
        <w:t xml:space="preserve"> indication </w:t>
      </w:r>
      <w:r w:rsidR="002317BC">
        <w:t>for dynamic HARQ-ACK,</w:t>
      </w:r>
      <w:r w:rsidR="008B31D9">
        <w:t xml:space="preserve"> </w:t>
      </w:r>
      <w:r w:rsidR="00231D26">
        <w:t xml:space="preserve">by the DCI that schedules </w:t>
      </w:r>
      <w:r w:rsidR="00231D26" w:rsidRPr="00C97852">
        <w:t>associated PDSCH (for PUCCH carrying Ack/</w:t>
      </w:r>
      <w:proofErr w:type="spellStart"/>
      <w:r w:rsidR="00231D26" w:rsidRPr="00C97852">
        <w:t>Nack</w:t>
      </w:r>
      <w:proofErr w:type="spellEnd"/>
      <w:r w:rsidR="00231D26" w:rsidRPr="00C97852">
        <w:t>)</w:t>
      </w:r>
      <w:r w:rsidR="00231D26">
        <w:t xml:space="preserve">. </w:t>
      </w:r>
      <w:r w:rsidR="004962C5">
        <w:t>A question is whether</w:t>
      </w:r>
      <w:r w:rsidR="00F75449">
        <w:t xml:space="preserve"> </w:t>
      </w:r>
      <w:r w:rsidR="00F75449" w:rsidRPr="00F75449">
        <w:t>the HARQ-ACK for the first SPS PDSCH associated with the activation DCI is considered as SPS HARQ-ACK or dynamic HARQ-ACK</w:t>
      </w:r>
      <w:r w:rsidR="001245E0">
        <w:t xml:space="preserve">, hence, </w:t>
      </w:r>
      <w:r w:rsidR="001245E0" w:rsidRPr="001245E0">
        <w:t>whether dynamic PUCCH repetition indication is supported for HARQ-ACK for the first SPS PDSCH associated with the activation DCI?</w:t>
      </w:r>
    </w:p>
    <w:p w14:paraId="54B2C093" w14:textId="52F0EE17" w:rsidR="00E26E43" w:rsidRDefault="00845CA5" w:rsidP="00FE479D">
      <w:pPr>
        <w:jc w:val="both"/>
        <w:rPr>
          <w:b/>
          <w:bCs/>
        </w:rPr>
      </w:pPr>
      <w:r>
        <w:rPr>
          <w:b/>
          <w:bCs/>
        </w:rPr>
        <w:t xml:space="preserve">Proposal </w:t>
      </w:r>
      <w:r w:rsidR="001245E0">
        <w:rPr>
          <w:b/>
          <w:bCs/>
        </w:rPr>
        <w:t>2</w:t>
      </w:r>
      <w:r w:rsidR="000146B7" w:rsidRPr="000146B7">
        <w:rPr>
          <w:b/>
          <w:bCs/>
        </w:rPr>
        <w:t xml:space="preserve">: </w:t>
      </w:r>
      <w:r w:rsidR="001245E0" w:rsidRPr="000E63F2">
        <w:t>Support</w:t>
      </w:r>
      <w:r w:rsidR="000146B7" w:rsidRPr="000E63F2">
        <w:t xml:space="preserve"> </w:t>
      </w:r>
      <w:bookmarkStart w:id="3" w:name="_Hlk86917214"/>
      <w:r w:rsidR="000146B7" w:rsidRPr="000E63F2">
        <w:t>dynamic PUCCH repetition indication for HARQ-ACK for the first SPS PDSCH associated with the activation DCI</w:t>
      </w:r>
      <w:r w:rsidR="00793678">
        <w:t>.</w:t>
      </w:r>
      <w:r w:rsidR="000146B7" w:rsidRPr="000146B7">
        <w:rPr>
          <w:b/>
          <w:bCs/>
        </w:rPr>
        <w:t xml:space="preserve"> </w:t>
      </w:r>
      <w:bookmarkEnd w:id="3"/>
    </w:p>
    <w:p w14:paraId="3345F2BA" w14:textId="77777777" w:rsidR="008E3343" w:rsidRPr="00AF5335" w:rsidRDefault="008E3343" w:rsidP="000146B7">
      <w:pPr>
        <w:contextualSpacing/>
        <w:jc w:val="both"/>
      </w:pPr>
    </w:p>
    <w:p w14:paraId="43AFC5BD" w14:textId="77777777" w:rsidR="00FE479D" w:rsidRDefault="00FE479D" w:rsidP="00FE479D">
      <w:pPr>
        <w:jc w:val="both"/>
      </w:pPr>
      <w:r>
        <w:t xml:space="preserve">When we have dynamic indication of PUCCH repetition factor, it would be also useful to have dynamic indication of frequency hopping (instead of having it semi-statically configured per PUCCH format). This dynamic indication of frequency hopping for PUCCH repetitions can follow the same mechanism of dynamic indication of PUCCH repetition factor, </w:t>
      </w:r>
      <w:proofErr w:type="gramStart"/>
      <w:r>
        <w:t>i.e.</w:t>
      </w:r>
      <w:proofErr w:type="gramEnd"/>
      <w:r>
        <w:t xml:space="preserve"> by using configuration of frequency hopping per PUCCH resource (together with dynamic indication of PUCCH resource).</w:t>
      </w:r>
    </w:p>
    <w:p w14:paraId="4941BA94" w14:textId="5D218F23" w:rsidR="00FE479D" w:rsidRDefault="00FE479D" w:rsidP="00FE479D">
      <w:pPr>
        <w:jc w:val="both"/>
      </w:pPr>
      <w:r w:rsidRPr="00F34A4F">
        <w:rPr>
          <w:b/>
          <w:bCs/>
        </w:rPr>
        <w:t xml:space="preserve">Proposal </w:t>
      </w:r>
      <w:r>
        <w:rPr>
          <w:b/>
          <w:bCs/>
        </w:rPr>
        <w:t>3</w:t>
      </w:r>
      <w:r w:rsidRPr="00F34A4F">
        <w:rPr>
          <w:b/>
          <w:bCs/>
        </w:rPr>
        <w:t>:</w:t>
      </w:r>
      <w:r>
        <w:t xml:space="preserve"> Support enhancing RRC signaling to allow d</w:t>
      </w:r>
      <w:r w:rsidRPr="007B5443">
        <w:t>ynamic indication of frequency hopping for PUCCH</w:t>
      </w:r>
      <w:r>
        <w:t xml:space="preserve"> repetition</w:t>
      </w:r>
      <w:r w:rsidRPr="007B5443">
        <w:t xml:space="preserve"> </w:t>
      </w:r>
      <w:r>
        <w:t>via indication of PUCCH resource.</w:t>
      </w:r>
    </w:p>
    <w:bookmarkEnd w:id="1"/>
    <w:p w14:paraId="3918CE45" w14:textId="77777777" w:rsidR="00746535" w:rsidRPr="003E242C" w:rsidRDefault="000958AF" w:rsidP="00746535">
      <w:pPr>
        <w:pStyle w:val="Heading1"/>
        <w:rPr>
          <w:rFonts w:ascii="Times New Roman" w:hAnsi="Times New Roman"/>
          <w:lang w:val="en-US"/>
        </w:rPr>
      </w:pPr>
      <w:r w:rsidRPr="003E242C">
        <w:rPr>
          <w:rFonts w:ascii="Times New Roman" w:hAnsi="Times New Roman"/>
          <w:lang w:val="en-US"/>
        </w:rPr>
        <w:lastRenderedPageBreak/>
        <w:t>DMRS Bundling</w:t>
      </w:r>
      <w:r w:rsidR="00746535" w:rsidRPr="003E242C">
        <w:rPr>
          <w:rFonts w:ascii="Times New Roman" w:hAnsi="Times New Roman"/>
          <w:lang w:val="en-US"/>
        </w:rPr>
        <w:t xml:space="preserve"> </w:t>
      </w:r>
      <w:r w:rsidR="008E7DDF" w:rsidRPr="003E242C">
        <w:rPr>
          <w:rFonts w:ascii="Times New Roman" w:hAnsi="Times New Roman"/>
          <w:lang w:val="en-US"/>
        </w:rPr>
        <w:t>across PUCCH Repetitions</w:t>
      </w:r>
    </w:p>
    <w:p w14:paraId="165C0EDD" w14:textId="77777777" w:rsidR="0076063A" w:rsidRDefault="0076063A" w:rsidP="0076063A">
      <w:pPr>
        <w:pStyle w:val="Heading2"/>
        <w:ind w:left="540" w:hanging="540"/>
        <w:rPr>
          <w:rFonts w:ascii="Times New Roman" w:hAnsi="Times New Roman"/>
        </w:rPr>
      </w:pPr>
      <w:bookmarkStart w:id="4" w:name="_Hlk23927392"/>
      <w:r>
        <w:rPr>
          <w:rFonts w:ascii="Times New Roman" w:hAnsi="Times New Roman"/>
        </w:rPr>
        <w:t>Use Cases</w:t>
      </w:r>
    </w:p>
    <w:p w14:paraId="64B3037C" w14:textId="757EA23B" w:rsidR="0076063A" w:rsidRDefault="0076063A" w:rsidP="0076063A">
      <w:pPr>
        <w:rPr>
          <w:lang w:val="en-GB"/>
        </w:rPr>
      </w:pPr>
      <w:r>
        <w:rPr>
          <w:lang w:val="en-GB"/>
        </w:rPr>
        <w:t xml:space="preserve">In an LS to RAN4 </w:t>
      </w:r>
      <w:r>
        <w:rPr>
          <w:lang w:val="en-GB"/>
        </w:rPr>
        <w:fldChar w:fldCharType="begin"/>
      </w:r>
      <w:r>
        <w:rPr>
          <w:lang w:val="en-GB"/>
        </w:rPr>
        <w:instrText xml:space="preserve"> REF _Ref71532427 \r \h </w:instrText>
      </w:r>
      <w:r>
        <w:rPr>
          <w:lang w:val="en-GB"/>
        </w:rPr>
      </w:r>
      <w:r>
        <w:rPr>
          <w:lang w:val="en-GB"/>
        </w:rPr>
        <w:fldChar w:fldCharType="separate"/>
      </w:r>
      <w:r w:rsidR="00A86351">
        <w:rPr>
          <w:lang w:val="en-GB"/>
        </w:rPr>
        <w:t>[2]</w:t>
      </w:r>
      <w:r>
        <w:rPr>
          <w:lang w:val="en-GB"/>
        </w:rPr>
        <w:fldChar w:fldCharType="end"/>
      </w:r>
      <w:r>
        <w:rPr>
          <w:lang w:val="en-GB"/>
        </w:rPr>
        <w:t>, RAN1 provided the following use cases and some consideration on prioritization:</w:t>
      </w:r>
    </w:p>
    <w:tbl>
      <w:tblPr>
        <w:tblStyle w:val="TableGrid"/>
        <w:tblW w:w="0" w:type="auto"/>
        <w:tblLook w:val="04A0" w:firstRow="1" w:lastRow="0" w:firstColumn="1" w:lastColumn="0" w:noHBand="0" w:noVBand="1"/>
      </w:tblPr>
      <w:tblGrid>
        <w:gridCol w:w="9350"/>
      </w:tblGrid>
      <w:tr w:rsidR="0076063A" w14:paraId="468E1390" w14:textId="77777777" w:rsidTr="00433E99">
        <w:tc>
          <w:tcPr>
            <w:tcW w:w="9350" w:type="dxa"/>
          </w:tcPr>
          <w:p w14:paraId="429985A9" w14:textId="77777777" w:rsidR="0076063A" w:rsidRDefault="0076063A" w:rsidP="00433E99">
            <w:pPr>
              <w:pStyle w:val="BodyText"/>
              <w:spacing w:before="100" w:beforeAutospacing="1" w:after="100" w:afterAutospacing="1"/>
            </w:pPr>
            <w:r>
              <w:t>For PUCCH repetitions, the following use cases are considered in RAN1. Among the following cases, RAN1 suggest RAN4 to prioritize the study on use case 3, 4a, 4b,</w:t>
            </w:r>
            <w:r>
              <w:rPr>
                <w:color w:val="FF0000"/>
              </w:rPr>
              <w:t xml:space="preserve"> </w:t>
            </w:r>
            <w:r>
              <w:t xml:space="preserve">and 5b for PUCCH repetitions. </w:t>
            </w:r>
          </w:p>
          <w:p w14:paraId="16A98787" w14:textId="77777777" w:rsidR="0076063A" w:rsidRDefault="0076063A" w:rsidP="00433E99">
            <w:pPr>
              <w:pStyle w:val="BodyText"/>
              <w:spacing w:before="120" w:after="120"/>
              <w:ind w:left="420" w:hanging="420"/>
              <w:jc w:val="both"/>
              <w:rPr>
                <w:lang w:eastAsia="ko-KR"/>
              </w:rPr>
            </w:pPr>
            <w:r>
              <w:rPr>
                <w:rFonts w:ascii="Wingdings" w:hAnsi="Wingdings"/>
                <w:lang w:eastAsia="ko-KR"/>
              </w:rPr>
              <w:t>Ÿ</w:t>
            </w:r>
            <w:r>
              <w:rPr>
                <w:sz w:val="14"/>
                <w:szCs w:val="14"/>
                <w:lang w:eastAsia="ko-KR"/>
              </w:rPr>
              <w:t xml:space="preserve">   </w:t>
            </w:r>
            <w:r>
              <w:rPr>
                <w:lang w:eastAsia="ko-KR"/>
              </w:rPr>
              <w:t xml:space="preserve">Use case 1: back-to-back PUCCH </w:t>
            </w:r>
            <w:r>
              <w:t xml:space="preserve">repetitions </w:t>
            </w:r>
            <w:r>
              <w:rPr>
                <w:lang w:eastAsia="ko-KR"/>
              </w:rPr>
              <w:t>within one slot.</w:t>
            </w:r>
          </w:p>
          <w:p w14:paraId="00C10570" w14:textId="77777777" w:rsidR="0076063A" w:rsidRDefault="0076063A" w:rsidP="00433E99">
            <w:pPr>
              <w:pStyle w:val="BodyText"/>
              <w:spacing w:before="120" w:after="120"/>
              <w:ind w:left="420" w:hanging="420"/>
              <w:jc w:val="both"/>
              <w:rPr>
                <w:lang w:eastAsia="ko-KR"/>
              </w:rPr>
            </w:pPr>
            <w:r>
              <w:rPr>
                <w:rFonts w:ascii="Wingdings" w:hAnsi="Wingdings"/>
                <w:lang w:eastAsia="ko-KR"/>
              </w:rPr>
              <w:t>Ÿ</w:t>
            </w:r>
            <w:r>
              <w:rPr>
                <w:sz w:val="14"/>
                <w:szCs w:val="14"/>
                <w:lang w:eastAsia="ko-KR"/>
              </w:rPr>
              <w:t xml:space="preserve">   </w:t>
            </w:r>
            <w:r>
              <w:rPr>
                <w:lang w:eastAsia="ko-KR"/>
              </w:rPr>
              <w:t xml:space="preserve">Use case 2: non-back-to-back PUCCH </w:t>
            </w:r>
            <w:r>
              <w:t xml:space="preserve">repetitions </w:t>
            </w:r>
            <w:r>
              <w:rPr>
                <w:lang w:eastAsia="ko-KR"/>
              </w:rPr>
              <w:t>within one slot.</w:t>
            </w:r>
          </w:p>
          <w:p w14:paraId="07FA406E" w14:textId="77777777" w:rsidR="0076063A" w:rsidRDefault="0076063A" w:rsidP="00433E99">
            <w:pPr>
              <w:pStyle w:val="BodyText"/>
              <w:spacing w:before="120"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 xml:space="preserve">Use case 2a: no uplink transmission in the middle of two PUCCH </w:t>
            </w:r>
            <w:r>
              <w:t xml:space="preserve">repetitions </w:t>
            </w:r>
          </w:p>
          <w:p w14:paraId="26866BEB" w14:textId="77777777" w:rsidR="0076063A" w:rsidRDefault="0076063A" w:rsidP="00433E99">
            <w:pPr>
              <w:pStyle w:val="BodyText"/>
              <w:spacing w:before="120"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 xml:space="preserve">Use case 2b: other uplink transmissions in the middle of two PUCCH </w:t>
            </w:r>
            <w:r>
              <w:t xml:space="preserve">repetitions </w:t>
            </w:r>
          </w:p>
          <w:p w14:paraId="0DE6DEF1" w14:textId="77777777" w:rsidR="0076063A" w:rsidRDefault="0076063A" w:rsidP="00433E99">
            <w:pPr>
              <w:pStyle w:val="BodyText"/>
              <w:spacing w:before="120" w:after="120"/>
              <w:ind w:left="420" w:hanging="420"/>
              <w:jc w:val="both"/>
              <w:rPr>
                <w:lang w:eastAsia="ko-KR"/>
              </w:rPr>
            </w:pPr>
            <w:r>
              <w:rPr>
                <w:rFonts w:ascii="Wingdings" w:hAnsi="Wingdings"/>
                <w:lang w:eastAsia="ko-KR"/>
              </w:rPr>
              <w:t></w:t>
            </w:r>
            <w:r>
              <w:rPr>
                <w:sz w:val="14"/>
                <w:szCs w:val="14"/>
                <w:lang w:eastAsia="ko-KR"/>
              </w:rPr>
              <w:t xml:space="preserve">   </w:t>
            </w:r>
            <w:r>
              <w:rPr>
                <w:lang w:eastAsia="ko-KR"/>
              </w:rPr>
              <w:t xml:space="preserve">Use case 3: back-to-back PUCCH </w:t>
            </w:r>
            <w:r>
              <w:t xml:space="preserve">repetitions </w:t>
            </w:r>
            <w:r>
              <w:rPr>
                <w:lang w:eastAsia="ko-KR"/>
              </w:rPr>
              <w:t>across consecutive slots.</w:t>
            </w:r>
          </w:p>
          <w:p w14:paraId="6D038719" w14:textId="77777777" w:rsidR="0076063A" w:rsidRDefault="0076063A" w:rsidP="00433E99">
            <w:pPr>
              <w:pStyle w:val="BodyText"/>
              <w:spacing w:before="120" w:after="120"/>
              <w:ind w:left="420" w:hanging="420"/>
              <w:jc w:val="both"/>
              <w:rPr>
                <w:lang w:eastAsia="ko-KR"/>
              </w:rPr>
            </w:pPr>
            <w:r>
              <w:rPr>
                <w:rFonts w:ascii="Wingdings" w:hAnsi="Wingdings"/>
                <w:lang w:eastAsia="ko-KR"/>
              </w:rPr>
              <w:t></w:t>
            </w:r>
            <w:r>
              <w:rPr>
                <w:sz w:val="14"/>
                <w:szCs w:val="14"/>
                <w:lang w:eastAsia="ko-KR"/>
              </w:rPr>
              <w:t xml:space="preserve">   </w:t>
            </w:r>
            <w:r>
              <w:rPr>
                <w:lang w:eastAsia="ko-KR"/>
              </w:rPr>
              <w:t xml:space="preserve">Use case 4: non-back-to-back PUCCH </w:t>
            </w:r>
            <w:r>
              <w:t xml:space="preserve">repetitions </w:t>
            </w:r>
            <w:r>
              <w:rPr>
                <w:lang w:eastAsia="ko-KR"/>
              </w:rPr>
              <w:t>across consecutive slots.</w:t>
            </w:r>
          </w:p>
          <w:p w14:paraId="3B62AD7A" w14:textId="77777777" w:rsidR="0076063A" w:rsidRDefault="0076063A" w:rsidP="00433E99">
            <w:pPr>
              <w:pStyle w:val="BodyText"/>
              <w:spacing w:before="120"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 xml:space="preserve">Use 4a: no uplink transmission in the middle of two PUCCH </w:t>
            </w:r>
            <w:r>
              <w:t xml:space="preserve">repetitions </w:t>
            </w:r>
          </w:p>
          <w:p w14:paraId="53A5E607" w14:textId="77777777" w:rsidR="0076063A" w:rsidRDefault="0076063A" w:rsidP="00433E99">
            <w:pPr>
              <w:pStyle w:val="BodyText"/>
              <w:spacing w:before="120"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 xml:space="preserve">Use 4b: other uplink transmissions in the middle of two PUCCH </w:t>
            </w:r>
            <w:r>
              <w:t xml:space="preserve">repetitions </w:t>
            </w:r>
          </w:p>
          <w:p w14:paraId="1E768A0A" w14:textId="77777777" w:rsidR="0076063A" w:rsidRDefault="0076063A" w:rsidP="00433E99">
            <w:pPr>
              <w:pStyle w:val="BodyText"/>
              <w:spacing w:before="120" w:after="120"/>
              <w:ind w:left="420" w:hanging="420"/>
              <w:jc w:val="both"/>
              <w:rPr>
                <w:lang w:eastAsia="ko-KR"/>
              </w:rPr>
            </w:pPr>
            <w:r>
              <w:rPr>
                <w:rFonts w:ascii="Wingdings" w:hAnsi="Wingdings"/>
                <w:lang w:eastAsia="ko-KR"/>
              </w:rPr>
              <w:t></w:t>
            </w:r>
            <w:r>
              <w:rPr>
                <w:sz w:val="14"/>
                <w:szCs w:val="14"/>
                <w:lang w:eastAsia="ko-KR"/>
              </w:rPr>
              <w:t xml:space="preserve">   </w:t>
            </w:r>
            <w:r>
              <w:rPr>
                <w:lang w:eastAsia="ko-KR"/>
              </w:rPr>
              <w:t xml:space="preserve">Use case 5: PUCCH </w:t>
            </w:r>
            <w:r>
              <w:t xml:space="preserve">repetitions </w:t>
            </w:r>
            <w:r>
              <w:rPr>
                <w:lang w:eastAsia="ko-KR"/>
              </w:rPr>
              <w:t>across non-consecutive slots.</w:t>
            </w:r>
          </w:p>
          <w:p w14:paraId="449A5FE6" w14:textId="77777777" w:rsidR="0076063A" w:rsidRDefault="0076063A" w:rsidP="00433E99">
            <w:pPr>
              <w:pStyle w:val="BodyText"/>
              <w:spacing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Use case 5a: no uplink transmission in the middle of two PUCCH repetitions</w:t>
            </w:r>
          </w:p>
          <w:p w14:paraId="715DD238" w14:textId="77777777" w:rsidR="0076063A" w:rsidRDefault="0076063A" w:rsidP="00433E99">
            <w:pPr>
              <w:pStyle w:val="BodyText"/>
              <w:spacing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Use case 5b: other uplink transmissions in the middle of two PUCCH repetitions</w:t>
            </w:r>
          </w:p>
          <w:p w14:paraId="37569C1D" w14:textId="77777777" w:rsidR="0076063A" w:rsidRDefault="0076063A" w:rsidP="00433E99">
            <w:pPr>
              <w:pStyle w:val="BodyText"/>
              <w:spacing w:before="100" w:beforeAutospacing="1" w:after="100" w:afterAutospacing="1"/>
              <w:rPr>
                <w:lang w:eastAsia="ko-KR"/>
              </w:rPr>
            </w:pPr>
            <w:r>
              <w:rPr>
                <w:lang w:eastAsia="ko-KR"/>
              </w:rPr>
              <w:t>Note: RAN1 assumes “back-to-back PUCCH repetitions” has zero gap in-between adjacent PUCCH repetitions.</w:t>
            </w:r>
          </w:p>
          <w:p w14:paraId="10AFE26C" w14:textId="77777777" w:rsidR="0076063A" w:rsidRDefault="0076063A" w:rsidP="00433E99">
            <w:pPr>
              <w:pStyle w:val="BodyText"/>
              <w:spacing w:before="100" w:beforeAutospacing="1" w:after="100" w:afterAutospacing="1"/>
              <w:rPr>
                <w:lang w:eastAsia="ko-KR"/>
              </w:rPr>
            </w:pPr>
            <w:r>
              <w:rPr>
                <w:lang w:eastAsia="ko-KR"/>
              </w:rPr>
              <w:t xml:space="preserve">Note: intervening “other uplink transmissions” can be either on the same component carrier or a different component carrier. </w:t>
            </w:r>
          </w:p>
        </w:tc>
      </w:tr>
    </w:tbl>
    <w:p w14:paraId="53915C58" w14:textId="49C3E764" w:rsidR="0076063A" w:rsidRDefault="0076063A" w:rsidP="0076063A">
      <w:pPr>
        <w:rPr>
          <w:lang w:val="en-GB"/>
        </w:rPr>
      </w:pPr>
    </w:p>
    <w:p w14:paraId="7B90D6D1" w14:textId="53C2C8E7" w:rsidR="009F3FC2" w:rsidRDefault="00B342D3" w:rsidP="0076063A">
      <w:pPr>
        <w:rPr>
          <w:lang w:val="en-GB"/>
        </w:rPr>
      </w:pPr>
      <w:r>
        <w:rPr>
          <w:lang w:val="en-GB"/>
        </w:rPr>
        <w:t>In RAN1-105-e, the following conclusion was made regarding use cases:</w:t>
      </w:r>
    </w:p>
    <w:tbl>
      <w:tblPr>
        <w:tblStyle w:val="TableGrid"/>
        <w:tblW w:w="0" w:type="auto"/>
        <w:tblLook w:val="04A0" w:firstRow="1" w:lastRow="0" w:firstColumn="1" w:lastColumn="0" w:noHBand="0" w:noVBand="1"/>
      </w:tblPr>
      <w:tblGrid>
        <w:gridCol w:w="9350"/>
      </w:tblGrid>
      <w:tr w:rsidR="00B342D3" w14:paraId="0359FF7D" w14:textId="77777777" w:rsidTr="00B342D3">
        <w:tc>
          <w:tcPr>
            <w:tcW w:w="9350" w:type="dxa"/>
          </w:tcPr>
          <w:p w14:paraId="2EAB1123" w14:textId="77777777" w:rsidR="00B342D3" w:rsidRPr="000D3D4D" w:rsidRDefault="00B342D3" w:rsidP="00B342D3">
            <w:pPr>
              <w:rPr>
                <w:lang w:eastAsia="ja-JP"/>
              </w:rPr>
            </w:pPr>
            <w:r w:rsidRPr="000D3D4D">
              <w:rPr>
                <w:b/>
                <w:bCs/>
                <w:u w:val="single"/>
                <w:lang w:eastAsia="ja-JP"/>
              </w:rPr>
              <w:t>Conclusion</w:t>
            </w:r>
            <w:r w:rsidRPr="000D3D4D">
              <w:rPr>
                <w:lang w:eastAsia="ja-JP"/>
              </w:rPr>
              <w:t>: For PUCCH repetitions, the following use cases are deprioritized in RAN1 work on PUCCH DMRS bundling</w:t>
            </w:r>
          </w:p>
          <w:p w14:paraId="73BD446D" w14:textId="77777777" w:rsidR="00B342D3" w:rsidRPr="000D3D4D" w:rsidRDefault="00B342D3" w:rsidP="00B342D3">
            <w:pPr>
              <w:pStyle w:val="BodyText"/>
              <w:spacing w:before="120"/>
              <w:ind w:left="708" w:hanging="420"/>
              <w:rPr>
                <w:lang w:eastAsia="ko-KR"/>
              </w:rPr>
            </w:pPr>
            <w:r w:rsidRPr="000D3D4D">
              <w:rPr>
                <w:rFonts w:ascii="Wingdings" w:hAnsi="Wingdings"/>
                <w:lang w:eastAsia="ko-KR"/>
              </w:rPr>
              <w:t>Ÿ</w:t>
            </w:r>
            <w:r w:rsidRPr="000D3D4D">
              <w:rPr>
                <w:lang w:eastAsia="ko-KR"/>
              </w:rPr>
              <w:t xml:space="preserve">   Use case 1: back-to-back PUCCH </w:t>
            </w:r>
            <w:r w:rsidRPr="000D3D4D">
              <w:t xml:space="preserve">repetitions </w:t>
            </w:r>
            <w:r w:rsidRPr="000D3D4D">
              <w:rPr>
                <w:lang w:eastAsia="ko-KR"/>
              </w:rPr>
              <w:t>within one slot.</w:t>
            </w:r>
          </w:p>
          <w:p w14:paraId="3EF70C33" w14:textId="77777777" w:rsidR="00B342D3" w:rsidRPr="000D3D4D" w:rsidRDefault="00B342D3" w:rsidP="00B342D3">
            <w:pPr>
              <w:pStyle w:val="BodyText"/>
              <w:spacing w:before="120"/>
              <w:ind w:left="708" w:hanging="420"/>
              <w:rPr>
                <w:lang w:eastAsia="ko-KR"/>
              </w:rPr>
            </w:pPr>
            <w:r w:rsidRPr="000D3D4D">
              <w:rPr>
                <w:rFonts w:ascii="Wingdings" w:hAnsi="Wingdings"/>
                <w:lang w:eastAsia="ko-KR"/>
              </w:rPr>
              <w:t>Ÿ</w:t>
            </w:r>
            <w:r w:rsidRPr="000D3D4D">
              <w:rPr>
                <w:lang w:eastAsia="ko-KR"/>
              </w:rPr>
              <w:t xml:space="preserve">   Use case 2: non-back-to-back PUCCH </w:t>
            </w:r>
            <w:r w:rsidRPr="000D3D4D">
              <w:t xml:space="preserve">repetitions </w:t>
            </w:r>
            <w:r w:rsidRPr="000D3D4D">
              <w:rPr>
                <w:lang w:eastAsia="ko-KR"/>
              </w:rPr>
              <w:t>within one slot.</w:t>
            </w:r>
          </w:p>
          <w:p w14:paraId="269BCB15" w14:textId="77777777" w:rsidR="00B342D3" w:rsidRPr="000D3D4D" w:rsidRDefault="00B342D3" w:rsidP="00B342D3">
            <w:pPr>
              <w:pStyle w:val="BodyText"/>
              <w:spacing w:before="120"/>
              <w:ind w:left="1128" w:hanging="420"/>
              <w:rPr>
                <w:lang w:eastAsia="ko-KR"/>
              </w:rPr>
            </w:pPr>
            <w:r w:rsidRPr="000D3D4D">
              <w:rPr>
                <w:rFonts w:ascii="SimSun" w:eastAsia="SimSun" w:hAnsi="SimSun" w:hint="eastAsia"/>
                <w:lang w:eastAsia="ko-KR"/>
              </w:rPr>
              <w:t>‐</w:t>
            </w:r>
            <w:r w:rsidRPr="000D3D4D">
              <w:rPr>
                <w:lang w:eastAsia="ko-KR"/>
              </w:rPr>
              <w:t xml:space="preserve">   Use case 2a: no uplink transmission in the middle of two PUCCH </w:t>
            </w:r>
            <w:r w:rsidRPr="000D3D4D">
              <w:t xml:space="preserve">repetitions </w:t>
            </w:r>
          </w:p>
          <w:p w14:paraId="41CAB434" w14:textId="77777777" w:rsidR="00B342D3" w:rsidRPr="000D3D4D" w:rsidRDefault="00B342D3" w:rsidP="00B342D3">
            <w:pPr>
              <w:pStyle w:val="BodyText"/>
              <w:spacing w:before="120"/>
              <w:ind w:left="1128" w:hanging="420"/>
              <w:rPr>
                <w:lang w:eastAsia="ko-KR"/>
              </w:rPr>
            </w:pPr>
            <w:r w:rsidRPr="000D3D4D">
              <w:rPr>
                <w:rFonts w:ascii="SimSun" w:eastAsia="SimSun" w:hAnsi="SimSun" w:hint="eastAsia"/>
                <w:lang w:eastAsia="ko-KR"/>
              </w:rPr>
              <w:t>‐</w:t>
            </w:r>
            <w:r w:rsidRPr="000D3D4D">
              <w:rPr>
                <w:lang w:eastAsia="ko-KR"/>
              </w:rPr>
              <w:t xml:space="preserve">   Use case 2b: other uplink transmissions in the middle of two PUCCH </w:t>
            </w:r>
            <w:r w:rsidRPr="000D3D4D">
              <w:t xml:space="preserve">repetitions </w:t>
            </w:r>
          </w:p>
          <w:p w14:paraId="1991A455" w14:textId="77777777" w:rsidR="00B342D3" w:rsidRDefault="00B342D3" w:rsidP="0076063A"/>
        </w:tc>
      </w:tr>
    </w:tbl>
    <w:p w14:paraId="7C49D34C" w14:textId="77777777" w:rsidR="00B342D3" w:rsidRDefault="00B342D3" w:rsidP="0076063A">
      <w:pPr>
        <w:rPr>
          <w:lang w:val="en-GB"/>
        </w:rPr>
      </w:pPr>
    </w:p>
    <w:p w14:paraId="750CFF1C" w14:textId="2CE7AAAA" w:rsidR="00C90C93" w:rsidRDefault="00C90C93" w:rsidP="0076063A">
      <w:pPr>
        <w:rPr>
          <w:lang w:val="en-GB"/>
        </w:rPr>
      </w:pPr>
      <w:r>
        <w:rPr>
          <w:lang w:val="en-GB"/>
        </w:rPr>
        <w:t>In RAN1-106-e, the following cases were prioritized:</w:t>
      </w:r>
    </w:p>
    <w:tbl>
      <w:tblPr>
        <w:tblStyle w:val="TableGrid"/>
        <w:tblW w:w="0" w:type="auto"/>
        <w:tblLook w:val="04A0" w:firstRow="1" w:lastRow="0" w:firstColumn="1" w:lastColumn="0" w:noHBand="0" w:noVBand="1"/>
      </w:tblPr>
      <w:tblGrid>
        <w:gridCol w:w="9350"/>
      </w:tblGrid>
      <w:tr w:rsidR="00C90C93" w14:paraId="1D0ADA93" w14:textId="77777777" w:rsidTr="00C90C93">
        <w:tc>
          <w:tcPr>
            <w:tcW w:w="9350" w:type="dxa"/>
          </w:tcPr>
          <w:p w14:paraId="446FEA68" w14:textId="77777777" w:rsidR="00C90C93" w:rsidRPr="009C2887" w:rsidRDefault="00C90C93" w:rsidP="00C90C93">
            <w:pPr>
              <w:shd w:val="clear" w:color="auto" w:fill="FFFFFF"/>
              <w:overflowPunct/>
              <w:autoSpaceDE/>
              <w:autoSpaceDN/>
              <w:adjustRightInd/>
              <w:spacing w:after="0"/>
              <w:textAlignment w:val="auto"/>
              <w:rPr>
                <w:rFonts w:ascii="Times" w:eastAsia="Batang" w:hAnsi="Times"/>
                <w:iCs/>
                <w:szCs w:val="24"/>
                <w:highlight w:val="green"/>
              </w:rPr>
            </w:pPr>
            <w:r w:rsidRPr="009C2887">
              <w:rPr>
                <w:rFonts w:ascii="Times" w:eastAsia="Batang" w:hAnsi="Times"/>
                <w:iCs/>
                <w:szCs w:val="24"/>
                <w:highlight w:val="green"/>
              </w:rPr>
              <w:t>Agreement</w:t>
            </w:r>
          </w:p>
          <w:p w14:paraId="148069AE" w14:textId="307C9F4C" w:rsidR="00C90C93" w:rsidRPr="009C2887" w:rsidRDefault="00C90C93" w:rsidP="00C90C93">
            <w:pPr>
              <w:numPr>
                <w:ilvl w:val="0"/>
                <w:numId w:val="55"/>
              </w:numPr>
              <w:overflowPunct/>
              <w:autoSpaceDE/>
              <w:autoSpaceDN/>
              <w:adjustRightInd/>
              <w:spacing w:after="0" w:line="280" w:lineRule="atLeast"/>
              <w:textAlignment w:val="auto"/>
              <w:rPr>
                <w:rFonts w:eastAsia="Batang"/>
              </w:rPr>
            </w:pPr>
            <w:r w:rsidRPr="009C2887">
              <w:rPr>
                <w:rFonts w:eastAsia="Batang" w:hint="eastAsia"/>
              </w:rPr>
              <w:t>For DMRS bundling for PUCCH repetitions, RAN1 at least prioritize use cases 3 and 4a</w:t>
            </w:r>
            <w:r w:rsidRPr="009C2887">
              <w:rPr>
                <w:rFonts w:eastAsia="Batang"/>
              </w:rPr>
              <w:t xml:space="preserve"> in </w:t>
            </w:r>
            <w:r w:rsidR="0001767C">
              <w:t>R1-2104119</w:t>
            </w:r>
            <w:r w:rsidR="0001767C" w:rsidRPr="00315AED">
              <w:rPr>
                <w:rFonts w:hint="eastAsia"/>
              </w:rPr>
              <w:t>.</w:t>
            </w:r>
          </w:p>
          <w:p w14:paraId="6486A8E9" w14:textId="77777777" w:rsidR="00C90C93" w:rsidRDefault="00C90C93" w:rsidP="0076063A"/>
        </w:tc>
      </w:tr>
    </w:tbl>
    <w:p w14:paraId="4E8B1020" w14:textId="15ED289E" w:rsidR="00C90C93" w:rsidRDefault="00C90C93" w:rsidP="0076063A">
      <w:pPr>
        <w:rPr>
          <w:lang w:val="en-GB"/>
        </w:rPr>
      </w:pPr>
    </w:p>
    <w:p w14:paraId="463BF862" w14:textId="2A989239" w:rsidR="00500AD2" w:rsidRDefault="00500AD2" w:rsidP="000E63F2">
      <w:pPr>
        <w:jc w:val="both"/>
        <w:rPr>
          <w:lang w:val="en-GB"/>
        </w:rPr>
      </w:pPr>
      <w:r>
        <w:rPr>
          <w:lang w:val="en-GB"/>
        </w:rPr>
        <w:t>We do not see the need to further include any further use cases and clarity on the allowed use cases is required since RRC parameter and UE feature discussions are starting from this meeting. We hence make the following proposal:</w:t>
      </w:r>
    </w:p>
    <w:p w14:paraId="2FEE47F6" w14:textId="21B0D68A" w:rsidR="0076063A" w:rsidRDefault="0076063A" w:rsidP="000E63F2">
      <w:pPr>
        <w:jc w:val="both"/>
        <w:rPr>
          <w:lang w:eastAsia="ko-KR"/>
        </w:rPr>
      </w:pPr>
      <w:r>
        <w:rPr>
          <w:b/>
          <w:bCs/>
        </w:rPr>
        <w:t xml:space="preserve">Proposal </w:t>
      </w:r>
      <w:r w:rsidR="006557C1">
        <w:rPr>
          <w:b/>
          <w:bCs/>
        </w:rPr>
        <w:t>4</w:t>
      </w:r>
      <w:r>
        <w:rPr>
          <w:b/>
          <w:bCs/>
        </w:rPr>
        <w:t xml:space="preserve">: </w:t>
      </w:r>
      <w:r w:rsidR="00E62522" w:rsidRPr="000E63F2">
        <w:t xml:space="preserve">RAN1 to confirm that use cases 3 and 4a are the only two </w:t>
      </w:r>
      <w:r w:rsidR="00500AD2" w:rsidRPr="000E63F2">
        <w:t>use cases for PUCCH DMRS bundling.</w:t>
      </w:r>
      <w:r>
        <w:t xml:space="preserve"> </w:t>
      </w:r>
    </w:p>
    <w:p w14:paraId="3B4B9872" w14:textId="2E7AB590" w:rsidR="000766E0" w:rsidRDefault="008D16BD" w:rsidP="00A16306">
      <w:pPr>
        <w:pStyle w:val="Heading2"/>
        <w:ind w:left="540" w:hanging="540"/>
        <w:rPr>
          <w:rFonts w:ascii="Times New Roman" w:hAnsi="Times New Roman"/>
        </w:rPr>
      </w:pPr>
      <w:r>
        <w:rPr>
          <w:rFonts w:ascii="Times New Roman" w:hAnsi="Times New Roman"/>
        </w:rPr>
        <w:lastRenderedPageBreak/>
        <w:t xml:space="preserve">Time Domain Window for </w:t>
      </w:r>
      <w:r w:rsidR="000766E0" w:rsidRPr="003E242C">
        <w:rPr>
          <w:rFonts w:ascii="Times New Roman" w:hAnsi="Times New Roman"/>
        </w:rPr>
        <w:t>DMRS Bundling</w:t>
      </w:r>
    </w:p>
    <w:p w14:paraId="463C8BB0" w14:textId="63E9D6D3" w:rsidR="000806E7" w:rsidRDefault="0022089F" w:rsidP="000E63F2">
      <w:pPr>
        <w:jc w:val="both"/>
        <w:rPr>
          <w:lang w:val="en-GB"/>
        </w:rPr>
      </w:pPr>
      <w:r>
        <w:rPr>
          <w:lang w:val="en-GB"/>
        </w:rPr>
        <w:t>In the last meeting</w:t>
      </w:r>
      <w:r w:rsidR="00382BE7">
        <w:rPr>
          <w:lang w:val="en-GB"/>
        </w:rPr>
        <w:t xml:space="preserve">, </w:t>
      </w:r>
      <w:r w:rsidR="00995B1C">
        <w:rPr>
          <w:lang w:val="en-GB"/>
        </w:rPr>
        <w:t>under sub-agenda 8.8.1.</w:t>
      </w:r>
      <w:r w:rsidR="00E22EE2">
        <w:rPr>
          <w:lang w:val="en-GB"/>
        </w:rPr>
        <w:t>3</w:t>
      </w:r>
      <w:r w:rsidR="00995B1C">
        <w:rPr>
          <w:lang w:val="en-GB"/>
        </w:rPr>
        <w:t xml:space="preserve">, </w:t>
      </w:r>
      <w:r w:rsidR="00382BE7">
        <w:rPr>
          <w:lang w:val="en-GB"/>
        </w:rPr>
        <w:t xml:space="preserve">a detailed procedure for identifying the locations of </w:t>
      </w:r>
      <w:r w:rsidR="000806E7">
        <w:rPr>
          <w:lang w:val="en-GB"/>
        </w:rPr>
        <w:t xml:space="preserve">time domain windows and how to handle dynamic events that violate RAN4 requirements for phase continuity and </w:t>
      </w:r>
      <w:r w:rsidR="00995B1C">
        <w:rPr>
          <w:lang w:val="en-GB"/>
        </w:rPr>
        <w:t xml:space="preserve">power consistency was agreed upon. </w:t>
      </w:r>
      <w:r w:rsidR="00E22EE2">
        <w:rPr>
          <w:lang w:val="en-GB"/>
        </w:rPr>
        <w:t>W</w:t>
      </w:r>
      <w:r w:rsidR="00397F19">
        <w:rPr>
          <w:lang w:val="en-GB"/>
        </w:rPr>
        <w:t xml:space="preserve">e suggest that it be extended to </w:t>
      </w:r>
      <w:r w:rsidR="00D231FD">
        <w:rPr>
          <w:lang w:val="en-GB"/>
        </w:rPr>
        <w:t>PUCCH DMRS bundling as well.</w:t>
      </w:r>
      <w:r w:rsidR="00320039">
        <w:rPr>
          <w:lang w:val="en-GB"/>
        </w:rPr>
        <w:t xml:space="preserve"> </w:t>
      </w:r>
    </w:p>
    <w:p w14:paraId="78075CF5" w14:textId="5EEEF1B2" w:rsidR="00787E78" w:rsidRDefault="007E3CC6" w:rsidP="000E63F2">
      <w:pPr>
        <w:jc w:val="both"/>
        <w:rPr>
          <w:b/>
          <w:lang w:eastAsia="zh-CN"/>
        </w:rPr>
      </w:pPr>
      <w:r>
        <w:rPr>
          <w:b/>
          <w:lang w:eastAsia="zh-CN"/>
        </w:rPr>
        <w:t>Proposal</w:t>
      </w:r>
      <w:r w:rsidR="00D40CFF">
        <w:rPr>
          <w:b/>
          <w:lang w:eastAsia="zh-CN"/>
        </w:rPr>
        <w:t xml:space="preserve"> </w:t>
      </w:r>
      <w:r w:rsidR="000D7276">
        <w:rPr>
          <w:b/>
          <w:lang w:eastAsia="zh-CN"/>
        </w:rPr>
        <w:t>5</w:t>
      </w:r>
      <w:r>
        <w:rPr>
          <w:b/>
          <w:lang w:eastAsia="zh-CN"/>
        </w:rPr>
        <w:t xml:space="preserve">: </w:t>
      </w:r>
      <w:r w:rsidRPr="000E63F2">
        <w:rPr>
          <w:bCs/>
          <w:lang w:eastAsia="zh-CN"/>
        </w:rPr>
        <w:t>F</w:t>
      </w:r>
      <w:r w:rsidR="00500AD2" w:rsidRPr="000E63F2">
        <w:rPr>
          <w:bCs/>
          <w:lang w:eastAsia="zh-CN"/>
        </w:rPr>
        <w:t>or PUCCH DMRS bundling</w:t>
      </w:r>
      <w:r w:rsidRPr="000E63F2">
        <w:rPr>
          <w:bCs/>
          <w:lang w:eastAsia="zh-CN"/>
        </w:rPr>
        <w:t>, r</w:t>
      </w:r>
      <w:r w:rsidR="00500AD2" w:rsidRPr="000E63F2">
        <w:rPr>
          <w:bCs/>
          <w:lang w:eastAsia="zh-CN"/>
        </w:rPr>
        <w:t>euse the procedure to determine time domain windows (TDWs) developed for PUSCH DMRS bundling</w:t>
      </w:r>
      <w:r>
        <w:rPr>
          <w:b/>
          <w:lang w:eastAsia="zh-CN"/>
        </w:rPr>
        <w:t>.</w:t>
      </w:r>
    </w:p>
    <w:p w14:paraId="544D9FB6" w14:textId="77777777" w:rsidR="007E3CC6" w:rsidRPr="00DD5D8D" w:rsidRDefault="007E3CC6" w:rsidP="000E63F2">
      <w:pPr>
        <w:jc w:val="both"/>
        <w:rPr>
          <w:lang w:eastAsia="zh-CN"/>
        </w:rPr>
      </w:pPr>
      <w:r w:rsidRPr="00DD5D8D">
        <w:rPr>
          <w:lang w:eastAsia="zh-CN"/>
        </w:rPr>
        <w:t>Due to the differences in the number and span of PUCCH repetitions across different PUCCH resources, it is preferred to configure parameters for DMRS bundling for each PUCCH resource. We make the following proposal in this regard:</w:t>
      </w:r>
    </w:p>
    <w:p w14:paraId="40F4DCF6" w14:textId="40536D2A" w:rsidR="007E3CC6" w:rsidRDefault="007E3CC6" w:rsidP="000E63F2">
      <w:pPr>
        <w:jc w:val="both"/>
        <w:rPr>
          <w:lang w:eastAsia="zh-CN"/>
        </w:rPr>
      </w:pPr>
      <w:r w:rsidRPr="00DD5D8D">
        <w:rPr>
          <w:b/>
          <w:bCs/>
        </w:rPr>
        <w:t>Proposal</w:t>
      </w:r>
      <w:r>
        <w:rPr>
          <w:b/>
          <w:bCs/>
        </w:rPr>
        <w:t xml:space="preserve"> </w:t>
      </w:r>
      <w:r w:rsidR="000D7276">
        <w:rPr>
          <w:b/>
          <w:bCs/>
        </w:rPr>
        <w:t>6</w:t>
      </w:r>
      <w:r w:rsidRPr="00DD5D8D">
        <w:rPr>
          <w:b/>
          <w:bCs/>
        </w:rPr>
        <w:t>:</w:t>
      </w:r>
      <w:r>
        <w:t xml:space="preserve"> </w:t>
      </w:r>
      <w:r w:rsidRPr="00C4161F">
        <w:t>Subject to the prerequisites of DMRS bundling for PUCCH repetitions</w:t>
      </w:r>
      <w:r w:rsidRPr="00DD5D8D">
        <w:rPr>
          <w:lang w:eastAsia="zh-CN"/>
        </w:rPr>
        <w:t>, when configuring PUCCH repetitions with DMRS bundling, the DMRS bundling configuration is specified per PUCCH resource.</w:t>
      </w:r>
    </w:p>
    <w:p w14:paraId="3D3F36E7" w14:textId="0F5C8690" w:rsidR="00EA37B4" w:rsidRDefault="00EA37B4" w:rsidP="00EA37B4">
      <w:pPr>
        <w:pStyle w:val="Heading2"/>
        <w:ind w:left="540" w:hanging="540"/>
        <w:rPr>
          <w:rFonts w:ascii="Times New Roman" w:hAnsi="Times New Roman"/>
        </w:rPr>
      </w:pPr>
      <w:r>
        <w:rPr>
          <w:rFonts w:ascii="Times New Roman" w:hAnsi="Times New Roman"/>
        </w:rPr>
        <w:t>Inter-slot frequency hopping</w:t>
      </w:r>
    </w:p>
    <w:p w14:paraId="29035DD7" w14:textId="3831DF41" w:rsidR="00F33D11" w:rsidRDefault="00886AD7" w:rsidP="00EA37B4">
      <w:pPr>
        <w:rPr>
          <w:lang w:val="en-GB"/>
        </w:rPr>
      </w:pPr>
      <w:r>
        <w:rPr>
          <w:lang w:val="en-GB"/>
        </w:rPr>
        <w:t xml:space="preserve">In </w:t>
      </w:r>
      <w:r w:rsidR="00F33D11">
        <w:rPr>
          <w:lang w:val="en-GB"/>
        </w:rPr>
        <w:t>RAN1 10</w:t>
      </w:r>
      <w:r w:rsidR="003B7EF1">
        <w:rPr>
          <w:lang w:val="en-GB"/>
        </w:rPr>
        <w:t>6bis</w:t>
      </w:r>
      <w:r w:rsidR="00CB6C94">
        <w:rPr>
          <w:lang w:val="en-GB"/>
        </w:rPr>
        <w:t>-</w:t>
      </w:r>
      <w:r w:rsidR="00F33D11">
        <w:rPr>
          <w:lang w:val="en-GB"/>
        </w:rPr>
        <w:t>e the following agreement on inter-slot frequency hopping</w:t>
      </w:r>
      <w:r>
        <w:rPr>
          <w:lang w:val="en-GB"/>
        </w:rPr>
        <w:t xml:space="preserve"> was made</w:t>
      </w:r>
      <w:r w:rsidR="00387082">
        <w:rPr>
          <w:lang w:val="en-GB"/>
        </w:rPr>
        <w:t>:</w:t>
      </w:r>
    </w:p>
    <w:tbl>
      <w:tblPr>
        <w:tblStyle w:val="TableGrid"/>
        <w:tblW w:w="0" w:type="auto"/>
        <w:tblLook w:val="04A0" w:firstRow="1" w:lastRow="0" w:firstColumn="1" w:lastColumn="0" w:noHBand="0" w:noVBand="1"/>
      </w:tblPr>
      <w:tblGrid>
        <w:gridCol w:w="9350"/>
      </w:tblGrid>
      <w:tr w:rsidR="00F33D11" w14:paraId="228CF01F" w14:textId="77777777" w:rsidTr="00F33D11">
        <w:tc>
          <w:tcPr>
            <w:tcW w:w="9350" w:type="dxa"/>
          </w:tcPr>
          <w:p w14:paraId="082B924B" w14:textId="77777777" w:rsidR="003B7EF1" w:rsidRPr="00220A3E" w:rsidRDefault="003B7EF1" w:rsidP="003B7EF1">
            <w:pPr>
              <w:rPr>
                <w:b/>
                <w:bCs/>
                <w:highlight w:val="green"/>
              </w:rPr>
            </w:pPr>
            <w:r w:rsidRPr="006407CF">
              <w:rPr>
                <w:rFonts w:eastAsia="DengXian" w:hint="eastAsia"/>
                <w:b/>
                <w:bCs/>
                <w:highlight w:val="green"/>
                <w:lang w:eastAsia="zh-CN"/>
              </w:rPr>
              <w:t>Agreement</w:t>
            </w:r>
            <w:r w:rsidRPr="00220A3E">
              <w:rPr>
                <w:b/>
                <w:bCs/>
                <w:highlight w:val="green"/>
              </w:rPr>
              <w:t xml:space="preserve">: </w:t>
            </w:r>
          </w:p>
          <w:p w14:paraId="0A97FEC6" w14:textId="77777777" w:rsidR="003B7EF1" w:rsidRDefault="003B7EF1" w:rsidP="003B7EF1">
            <w:pPr>
              <w:rPr>
                <w:b/>
                <w:bCs/>
              </w:rPr>
            </w:pPr>
            <w:r>
              <w:rPr>
                <w:b/>
                <w:bCs/>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041595E6" w14:textId="77777777" w:rsidR="003B7EF1" w:rsidRDefault="003B7EF1" w:rsidP="003B7EF1">
            <w:pPr>
              <w:pStyle w:val="ListParagraph"/>
              <w:numPr>
                <w:ilvl w:val="0"/>
                <w:numId w:val="69"/>
              </w:numPr>
              <w:overflowPunct/>
              <w:autoSpaceDE/>
              <w:autoSpaceDN/>
              <w:adjustRightInd/>
              <w:spacing w:after="0" w:line="280" w:lineRule="atLeast"/>
              <w:contextualSpacing w:val="0"/>
              <w:jc w:val="both"/>
              <w:textAlignment w:val="auto"/>
              <w:rPr>
                <w:rFonts w:eastAsia="SimSun"/>
                <w:b/>
                <w:bCs/>
              </w:rPr>
            </w:pPr>
            <w:r>
              <w:rPr>
                <w:rFonts w:eastAsia="SimSun"/>
                <w:b/>
                <w:bCs/>
              </w:rPr>
              <w:t>Option 1: “hopping intervals determination” -&gt; “configured TDW determination” -&gt; “actual TDW determination”</w:t>
            </w:r>
          </w:p>
          <w:p w14:paraId="4B245339" w14:textId="77777777" w:rsidR="003B7EF1" w:rsidRDefault="003B7EF1" w:rsidP="003B7EF1">
            <w:pPr>
              <w:pStyle w:val="ListParagraph"/>
              <w:numPr>
                <w:ilvl w:val="0"/>
                <w:numId w:val="69"/>
              </w:numPr>
              <w:overflowPunct/>
              <w:autoSpaceDE/>
              <w:autoSpaceDN/>
              <w:adjustRightInd/>
              <w:spacing w:after="0" w:line="280" w:lineRule="atLeast"/>
              <w:contextualSpacing w:val="0"/>
              <w:jc w:val="both"/>
              <w:textAlignment w:val="auto"/>
              <w:rPr>
                <w:rFonts w:eastAsia="SimSun"/>
                <w:b/>
                <w:bCs/>
              </w:rPr>
            </w:pPr>
            <w:r>
              <w:rPr>
                <w:rFonts w:eastAsia="SimSun"/>
                <w:b/>
                <w:bCs/>
              </w:rPr>
              <w:t>Option 2: “configured TDW determination” -&gt; “hopping intervals determination” -&gt; “actual TDW determination”</w:t>
            </w:r>
          </w:p>
          <w:p w14:paraId="4B99942A" w14:textId="77777777" w:rsidR="003B7EF1" w:rsidRDefault="003B7EF1" w:rsidP="003B7EF1">
            <w:pPr>
              <w:pStyle w:val="ListParagraph"/>
              <w:numPr>
                <w:ilvl w:val="0"/>
                <w:numId w:val="69"/>
              </w:numPr>
              <w:overflowPunct/>
              <w:autoSpaceDE/>
              <w:autoSpaceDN/>
              <w:adjustRightInd/>
              <w:spacing w:after="0" w:line="280" w:lineRule="atLeast"/>
              <w:contextualSpacing w:val="0"/>
              <w:jc w:val="both"/>
              <w:textAlignment w:val="auto"/>
              <w:rPr>
                <w:rFonts w:eastAsia="SimSun"/>
                <w:b/>
                <w:bCs/>
              </w:rPr>
            </w:pPr>
            <w:r>
              <w:rPr>
                <w:rFonts w:eastAsia="SimSun"/>
                <w:b/>
                <w:bCs/>
              </w:rPr>
              <w:t>Option 4: “configured TDW determination” -&gt; “actual TDW determination” and “hopping intervals determination”</w:t>
            </w:r>
          </w:p>
          <w:p w14:paraId="5DD5DCA8" w14:textId="77777777" w:rsidR="003B7EF1" w:rsidRDefault="003B7EF1" w:rsidP="003B7EF1">
            <w:pPr>
              <w:ind w:left="360"/>
              <w:rPr>
                <w:b/>
                <w:bCs/>
              </w:rPr>
            </w:pPr>
            <w:r>
              <w:rPr>
                <w:b/>
                <w:bCs/>
              </w:rPr>
              <w:t>Note: option 1</w:t>
            </w:r>
            <w:r w:rsidRPr="000E2F7A">
              <w:rPr>
                <w:b/>
                <w:bCs/>
                <w:strike/>
                <w:color w:val="FF0000"/>
              </w:rPr>
              <w:t>,</w:t>
            </w:r>
            <w:r>
              <w:rPr>
                <w:b/>
                <w:bCs/>
              </w:rPr>
              <w:t xml:space="preserve"> </w:t>
            </w:r>
            <w:r w:rsidRPr="000E2F7A">
              <w:rPr>
                <w:b/>
                <w:bCs/>
                <w:color w:val="FF0000"/>
              </w:rPr>
              <w:t xml:space="preserve">and </w:t>
            </w:r>
            <w:r>
              <w:rPr>
                <w:b/>
                <w:bCs/>
              </w:rPr>
              <w:t>2</w:t>
            </w:r>
            <w:r w:rsidRPr="000E2F7A">
              <w:rPr>
                <w:b/>
                <w:bCs/>
                <w:strike/>
                <w:color w:val="FF0000"/>
              </w:rPr>
              <w:t>, and 3</w:t>
            </w:r>
            <w:r w:rsidRPr="000E2F7A">
              <w:rPr>
                <w:b/>
                <w:bCs/>
                <w:color w:val="FF0000"/>
              </w:rPr>
              <w:t xml:space="preserve"> </w:t>
            </w:r>
            <w:r>
              <w:rPr>
                <w:b/>
                <w:bCs/>
              </w:rPr>
              <w:t xml:space="preserve">assume a hopping interval can be different than an actual TDW. </w:t>
            </w:r>
            <w:r w:rsidRPr="00220A3E">
              <w:rPr>
                <w:b/>
                <w:bCs/>
              </w:rPr>
              <w:t>Option 4 assumes a hopping interval is the same as an actual TDW.</w:t>
            </w:r>
            <w:r>
              <w:rPr>
                <w:b/>
                <w:bCs/>
              </w:rPr>
              <w:t xml:space="preserve"> </w:t>
            </w:r>
          </w:p>
          <w:p w14:paraId="58507B09" w14:textId="4186B57F" w:rsidR="00F33D11" w:rsidRPr="00DD5D8D" w:rsidRDefault="00F33D11" w:rsidP="00DD5D8D">
            <w:pPr>
              <w:pStyle w:val="ListParagraph"/>
              <w:numPr>
                <w:ilvl w:val="0"/>
                <w:numId w:val="53"/>
              </w:numPr>
              <w:overflowPunct/>
              <w:autoSpaceDE/>
              <w:autoSpaceDN/>
              <w:adjustRightInd/>
              <w:spacing w:after="0" w:line="280" w:lineRule="atLeast"/>
              <w:contextualSpacing w:val="0"/>
              <w:jc w:val="both"/>
              <w:textAlignment w:val="auto"/>
              <w:rPr>
                <w:color w:val="000000"/>
              </w:rPr>
            </w:pPr>
          </w:p>
        </w:tc>
      </w:tr>
    </w:tbl>
    <w:p w14:paraId="3C71D273" w14:textId="77777777" w:rsidR="00F33D11" w:rsidRDefault="00F33D11" w:rsidP="00EA37B4">
      <w:pPr>
        <w:rPr>
          <w:lang w:val="en-GB"/>
        </w:rPr>
      </w:pPr>
    </w:p>
    <w:p w14:paraId="66404622" w14:textId="694F72DA" w:rsidR="00387082" w:rsidRDefault="00387082" w:rsidP="00EA37B4">
      <w:pPr>
        <w:rPr>
          <w:lang w:val="en-GB"/>
        </w:rPr>
      </w:pPr>
      <w:r>
        <w:rPr>
          <w:lang w:val="en-GB"/>
        </w:rPr>
        <w:t xml:space="preserve">In the following we </w:t>
      </w:r>
      <w:r w:rsidR="00FB2F2A">
        <w:rPr>
          <w:lang w:val="en-GB"/>
        </w:rPr>
        <w:t>argue why Option 1 would be the best choice</w:t>
      </w:r>
      <w:r w:rsidR="00331F36">
        <w:rPr>
          <w:lang w:val="en-GB"/>
        </w:rPr>
        <w:t>.</w:t>
      </w:r>
    </w:p>
    <w:p w14:paraId="34DCCDB0" w14:textId="321E7362" w:rsidR="00787E78" w:rsidRPr="00DD5D8D" w:rsidRDefault="00787E78" w:rsidP="00EA37B4">
      <w:pPr>
        <w:rPr>
          <w:u w:val="single"/>
          <w:lang w:val="en-GB"/>
        </w:rPr>
      </w:pPr>
      <w:r w:rsidRPr="00DD5D8D">
        <w:rPr>
          <w:u w:val="single"/>
          <w:lang w:val="en-GB"/>
        </w:rPr>
        <w:t>Inter-slot frequency hopping for legacy PUCCH</w:t>
      </w:r>
      <w:r w:rsidR="00AD6F28">
        <w:rPr>
          <w:u w:val="single"/>
          <w:lang w:val="en-GB"/>
        </w:rPr>
        <w:t xml:space="preserve"> without DMRS bundling</w:t>
      </w:r>
      <w:r w:rsidRPr="00DD5D8D">
        <w:rPr>
          <w:u w:val="single"/>
          <w:lang w:val="en-GB"/>
        </w:rPr>
        <w:t>:</w:t>
      </w:r>
    </w:p>
    <w:p w14:paraId="2EA12223" w14:textId="1AFC4BEB" w:rsidR="00E84692" w:rsidRDefault="00E84692" w:rsidP="00E84692">
      <w:pPr>
        <w:jc w:val="center"/>
        <w:rPr>
          <w:lang w:val="en-GB"/>
        </w:rPr>
      </w:pPr>
      <w:r>
        <w:rPr>
          <w:noProof/>
        </w:rPr>
        <w:drawing>
          <wp:inline distT="0" distB="0" distL="0" distR="0" wp14:anchorId="0DD1C691" wp14:editId="45682D16">
            <wp:extent cx="5405002" cy="909873"/>
            <wp:effectExtent l="0" t="0" r="571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54236"/>
                    <a:stretch/>
                  </pic:blipFill>
                  <pic:spPr bwMode="auto">
                    <a:xfrm>
                      <a:off x="0" y="0"/>
                      <a:ext cx="5417352" cy="911952"/>
                    </a:xfrm>
                    <a:prstGeom prst="rect">
                      <a:avLst/>
                    </a:prstGeom>
                    <a:ln>
                      <a:noFill/>
                    </a:ln>
                    <a:extLst>
                      <a:ext uri="{53640926-AAD7-44D8-BBD7-CCE9431645EC}">
                        <a14:shadowObscured xmlns:a14="http://schemas.microsoft.com/office/drawing/2010/main"/>
                      </a:ext>
                    </a:extLst>
                  </pic:spPr>
                </pic:pic>
              </a:graphicData>
            </a:graphic>
          </wp:inline>
        </w:drawing>
      </w:r>
    </w:p>
    <w:p w14:paraId="76A75E18" w14:textId="3DD68CE1" w:rsidR="00E84692" w:rsidRDefault="00E84692" w:rsidP="00E84692">
      <w:pPr>
        <w:pStyle w:val="Caption"/>
        <w:jc w:val="center"/>
      </w:pPr>
      <w:bookmarkStart w:id="5" w:name="_Ref71532912"/>
      <w:r>
        <w:t xml:space="preserve">Figure </w:t>
      </w:r>
      <w:r>
        <w:fldChar w:fldCharType="begin"/>
      </w:r>
      <w:r>
        <w:instrText xml:space="preserve"> SEQ Figure \* ARABIC </w:instrText>
      </w:r>
      <w:r>
        <w:fldChar w:fldCharType="separate"/>
      </w:r>
      <w:r w:rsidR="00A86351">
        <w:rPr>
          <w:noProof/>
        </w:rPr>
        <w:t>1</w:t>
      </w:r>
      <w:r>
        <w:fldChar w:fldCharType="end"/>
      </w:r>
      <w:bookmarkEnd w:id="5"/>
      <w:r>
        <w:t>: Example of inter-slot frequency hopping for PUCCH repetitions in R15/16</w:t>
      </w:r>
    </w:p>
    <w:p w14:paraId="10A4D474" w14:textId="64C92695" w:rsidR="004B74E8" w:rsidRDefault="00E84692" w:rsidP="00EA37B4">
      <w:pPr>
        <w:rPr>
          <w:lang w:val="en-GB"/>
        </w:rPr>
      </w:pPr>
      <w:r>
        <w:rPr>
          <w:lang w:val="en-GB"/>
        </w:rPr>
        <w:t xml:space="preserve">In R15/16, the inter-slot frequency hop is determined based on the physical slot index. </w:t>
      </w:r>
      <w:proofErr w:type="gramStart"/>
      <w:r w:rsidR="008B250F">
        <w:rPr>
          <w:lang w:val="en-GB"/>
        </w:rPr>
        <w:t>In particular, when</w:t>
      </w:r>
      <w:proofErr w:type="gramEnd"/>
      <w:r w:rsidR="008B250F">
        <w:rPr>
          <w:lang w:val="en-GB"/>
        </w:rPr>
        <w:t xml:space="preserve"> a UE is configured with PUCCH repetitions and inter-slot frequency hopping is enabled, the UE is expected to hop based on whether slot index is even or odd, i.e., UE picks hop1 on odd slots and hop2 on even slots as shown in </w:t>
      </w:r>
      <w:r w:rsidR="008B250F">
        <w:rPr>
          <w:lang w:val="en-GB"/>
        </w:rPr>
        <w:fldChar w:fldCharType="begin"/>
      </w:r>
      <w:r w:rsidR="008B250F">
        <w:rPr>
          <w:lang w:val="en-GB"/>
        </w:rPr>
        <w:instrText xml:space="preserve"> REF _Ref71532912 \h </w:instrText>
      </w:r>
      <w:r w:rsidR="008B250F">
        <w:rPr>
          <w:lang w:val="en-GB"/>
        </w:rPr>
      </w:r>
      <w:r w:rsidR="008B250F">
        <w:rPr>
          <w:lang w:val="en-GB"/>
        </w:rPr>
        <w:fldChar w:fldCharType="separate"/>
      </w:r>
      <w:r w:rsidR="00A86351">
        <w:t xml:space="preserve">Figure </w:t>
      </w:r>
      <w:r w:rsidR="00A86351">
        <w:rPr>
          <w:noProof/>
        </w:rPr>
        <w:t>1</w:t>
      </w:r>
      <w:r w:rsidR="008B250F">
        <w:rPr>
          <w:lang w:val="en-GB"/>
        </w:rPr>
        <w:fldChar w:fldCharType="end"/>
      </w:r>
      <w:r w:rsidR="008B250F">
        <w:rPr>
          <w:lang w:val="en-GB"/>
        </w:rPr>
        <w:t xml:space="preserve">. </w:t>
      </w:r>
      <w:r w:rsidR="004412B7">
        <w:rPr>
          <w:lang w:val="en-GB"/>
        </w:rPr>
        <w:t xml:space="preserve">This </w:t>
      </w:r>
      <w:r w:rsidR="006274D1">
        <w:rPr>
          <w:lang w:val="en-GB"/>
        </w:rPr>
        <w:t xml:space="preserve">hopping pattern helps a </w:t>
      </w:r>
      <w:proofErr w:type="spellStart"/>
      <w:r w:rsidR="006274D1">
        <w:rPr>
          <w:lang w:val="en-GB"/>
        </w:rPr>
        <w:t>gNB</w:t>
      </w:r>
      <w:proofErr w:type="spellEnd"/>
      <w:r w:rsidR="006274D1">
        <w:rPr>
          <w:lang w:val="en-GB"/>
        </w:rPr>
        <w:t xml:space="preserve"> </w:t>
      </w:r>
      <w:r w:rsidR="004B74E8">
        <w:rPr>
          <w:lang w:val="en-GB"/>
        </w:rPr>
        <w:t xml:space="preserve">to </w:t>
      </w:r>
      <w:r w:rsidR="006274D1">
        <w:rPr>
          <w:lang w:val="en-GB"/>
        </w:rPr>
        <w:t>easi</w:t>
      </w:r>
      <w:r w:rsidR="004B74E8">
        <w:rPr>
          <w:lang w:val="en-GB"/>
        </w:rPr>
        <w:t>ly make scheduling decisions that ensure</w:t>
      </w:r>
      <w:r w:rsidR="006274D1">
        <w:rPr>
          <w:lang w:val="en-GB"/>
        </w:rPr>
        <w:t xml:space="preserve"> that the resources get utilized efficiently across UEs</w:t>
      </w:r>
      <w:r w:rsidR="00FA3155">
        <w:rPr>
          <w:lang w:val="en-GB"/>
        </w:rPr>
        <w:t xml:space="preserve"> without having to worry about </w:t>
      </w:r>
      <w:r w:rsidR="004B74E8">
        <w:rPr>
          <w:lang w:val="en-GB"/>
        </w:rPr>
        <w:t>issues such as hops of two UEs occupying the same frequency resource. We use this as a motivation to design inter-slot frequency hopping in the context of DMRS bundling.</w:t>
      </w:r>
    </w:p>
    <w:p w14:paraId="2B69FF86" w14:textId="085BBCFF" w:rsidR="00AD6F28" w:rsidRDefault="00AD6F28" w:rsidP="00AD6F28">
      <w:pPr>
        <w:rPr>
          <w:u w:val="single"/>
          <w:lang w:val="en-GB"/>
        </w:rPr>
      </w:pPr>
      <w:r w:rsidRPr="00BD0736">
        <w:rPr>
          <w:u w:val="single"/>
          <w:lang w:val="en-GB"/>
        </w:rPr>
        <w:t xml:space="preserve">Inter-slot frequency hopping </w:t>
      </w:r>
      <w:r>
        <w:rPr>
          <w:u w:val="single"/>
          <w:lang w:val="en-GB"/>
        </w:rPr>
        <w:t>with DMRS bundling</w:t>
      </w:r>
      <w:r w:rsidRPr="00BD0736">
        <w:rPr>
          <w:u w:val="single"/>
          <w:lang w:val="en-GB"/>
        </w:rPr>
        <w:t>:</w:t>
      </w:r>
    </w:p>
    <w:p w14:paraId="75600E84" w14:textId="237C0729" w:rsidR="00DC03AD" w:rsidRPr="00F34A4F" w:rsidRDefault="00DC03AD" w:rsidP="00DC03AD">
      <w:bookmarkStart w:id="6" w:name="_Hlk71027981"/>
      <w:r w:rsidRPr="00F34A4F">
        <w:t xml:space="preserve">Based on RAN4 feedback, </w:t>
      </w:r>
      <w:r w:rsidR="00E520F6" w:rsidRPr="00520BE0">
        <w:t>all</w:t>
      </w:r>
      <w:r w:rsidRPr="00F34A4F">
        <w:t xml:space="preserve"> bundled transmissions within a single time domain DMRS bundling window are required to have the same frequency hop index.</w:t>
      </w:r>
    </w:p>
    <w:p w14:paraId="31D4A9B0" w14:textId="77777777" w:rsidR="00DC03AD" w:rsidRDefault="00DC03AD" w:rsidP="00DC03AD">
      <w:r>
        <w:lastRenderedPageBreak/>
        <w:t>We propose the following procedure to describe how inter-slot frequency hopping and DMRS bundling may interact with each other and be enabled at the same time.</w:t>
      </w:r>
    </w:p>
    <w:p w14:paraId="467E9662" w14:textId="77777777" w:rsidR="00DC03AD" w:rsidRDefault="00DC03AD" w:rsidP="00DC03AD">
      <w:r>
        <w:t xml:space="preserve">For the purposes of DMRS bundling, a </w:t>
      </w:r>
      <w:proofErr w:type="spellStart"/>
      <w:r>
        <w:t>gNB</w:t>
      </w:r>
      <w:proofErr w:type="spellEnd"/>
      <w:r>
        <w:t xml:space="preserve"> may configure a UE with a new frequency hopping pattern. This new frequency pattern defines groups of contiguous physical slots that are assigned to each frequency hop. For example, slots 0 to 3 could be assigned to first hop, slots 4 to 7 could be assigned to second hop, and so on. Note that this a predetermined/static mapping between hops to physical slots. This strives to prioritize frequency hopping and the efficient use of resources over DMRS bundling.</w:t>
      </w:r>
    </w:p>
    <w:p w14:paraId="015C1874" w14:textId="622E243B" w:rsidR="00DC03AD" w:rsidRDefault="00DC03AD" w:rsidP="00DC03AD">
      <w:r>
        <w:t xml:space="preserve">Thus, once </w:t>
      </w:r>
      <w:r w:rsidR="00DB1457">
        <w:t xml:space="preserve">a </w:t>
      </w:r>
      <w:r>
        <w:t>UE determines the set of available slots for a sequence of PU</w:t>
      </w:r>
      <w:r w:rsidR="00DB1457">
        <w:t>C</w:t>
      </w:r>
      <w:r>
        <w:t>CH repetitions, it assigns hop indices to each slot that’s available based on the predetermined hopping patter</w:t>
      </w:r>
      <w:r w:rsidR="00DB1457">
        <w:t>n</w:t>
      </w:r>
      <w:r>
        <w:t xml:space="preserve"> that it is configured with. Once these two steps are completed, it proceeds to determining the placement of the time domain windows. Hop indices are factored into time domain window locations and two slots with different hop indices are not bundled together.</w:t>
      </w:r>
    </w:p>
    <w:p w14:paraId="4522CE5E" w14:textId="77777777" w:rsidR="00DC03AD" w:rsidRDefault="00DC03AD" w:rsidP="00DC03AD">
      <w:r>
        <w:t>The three-step procedure can be summarized as follows:</w:t>
      </w:r>
    </w:p>
    <w:p w14:paraId="6353B6C7" w14:textId="70503AFA" w:rsidR="00DC03AD" w:rsidRDefault="00DC03AD" w:rsidP="00DC03AD">
      <w:pPr>
        <w:pStyle w:val="ListParagraph"/>
        <w:numPr>
          <w:ilvl w:val="0"/>
          <w:numId w:val="62"/>
        </w:numPr>
        <w:overflowPunct/>
        <w:autoSpaceDE/>
        <w:autoSpaceDN/>
        <w:adjustRightInd/>
        <w:spacing w:after="0"/>
        <w:contextualSpacing w:val="0"/>
        <w:textAlignment w:val="auto"/>
      </w:pPr>
      <w:r>
        <w:t>Identify available slots for PUCCH rep</w:t>
      </w:r>
      <w:r w:rsidR="00327C1E">
        <w:t>etitions</w:t>
      </w:r>
    </w:p>
    <w:p w14:paraId="1D97D24D" w14:textId="2B4207DD" w:rsidR="00DC03AD" w:rsidRDefault="00DC03AD" w:rsidP="00DC03AD">
      <w:pPr>
        <w:pStyle w:val="ListParagraph"/>
        <w:numPr>
          <w:ilvl w:val="0"/>
          <w:numId w:val="62"/>
        </w:numPr>
        <w:overflowPunct/>
        <w:autoSpaceDE/>
        <w:autoSpaceDN/>
        <w:adjustRightInd/>
        <w:spacing w:after="0"/>
        <w:contextualSpacing w:val="0"/>
        <w:textAlignment w:val="auto"/>
      </w:pPr>
      <w:r>
        <w:t>Determine frequency hopping index for each available slot based on the configured hopping pattern</w:t>
      </w:r>
      <w:r w:rsidR="00E520F6">
        <w:t xml:space="preserve"> for DMRS bundling</w:t>
      </w:r>
    </w:p>
    <w:p w14:paraId="646B9DED" w14:textId="447A2D6F" w:rsidR="00DC03AD" w:rsidRDefault="00DC03AD" w:rsidP="00DC03AD">
      <w:pPr>
        <w:pStyle w:val="ListParagraph"/>
        <w:numPr>
          <w:ilvl w:val="0"/>
          <w:numId w:val="62"/>
        </w:numPr>
        <w:overflowPunct/>
        <w:autoSpaceDE/>
        <w:autoSpaceDN/>
        <w:adjustRightInd/>
        <w:spacing w:after="0"/>
        <w:contextualSpacing w:val="0"/>
        <w:textAlignment w:val="auto"/>
      </w:pPr>
      <w:r>
        <w:t xml:space="preserve">Determine </w:t>
      </w:r>
      <w:r w:rsidR="00DE69ED">
        <w:t xml:space="preserve">configured </w:t>
      </w:r>
      <w:r>
        <w:t>TDWs for DMRS bundling assuming frequency hop allocations made in Step 2. UE ensures that no two slots with different hop indices are bundled together.</w:t>
      </w:r>
    </w:p>
    <w:p w14:paraId="0F9671A8" w14:textId="77777777" w:rsidR="00DC03AD" w:rsidRDefault="00DC03AD" w:rsidP="00DC03AD">
      <w:pPr>
        <w:overflowPunct/>
        <w:autoSpaceDE/>
        <w:autoSpaceDN/>
        <w:adjustRightInd/>
        <w:spacing w:after="0"/>
        <w:textAlignment w:val="auto"/>
      </w:pPr>
    </w:p>
    <w:p w14:paraId="1992E45E" w14:textId="4F2DD8A0" w:rsidR="00DC03AD" w:rsidRDefault="00DC03AD" w:rsidP="00DC03AD">
      <w:pPr>
        <w:overflowPunct/>
        <w:autoSpaceDE/>
        <w:autoSpaceDN/>
        <w:adjustRightInd/>
        <w:spacing w:after="0"/>
        <w:textAlignment w:val="auto"/>
      </w:pPr>
      <w:r>
        <w:t>The above process is figuratively represented below, where a UE is scheduled to transmit PU</w:t>
      </w:r>
      <w:r w:rsidR="00327C1E">
        <w:t>C</w:t>
      </w:r>
      <w:r>
        <w:t>CH with 8 repetitions and a 4-slot hopping pattern. Note that the hopping pattern is decoupled from the start of PU</w:t>
      </w:r>
      <w:r w:rsidR="00327C1E">
        <w:t>C</w:t>
      </w:r>
      <w:r>
        <w:t>CH repetitions.</w:t>
      </w:r>
    </w:p>
    <w:p w14:paraId="334FB5AD" w14:textId="77777777" w:rsidR="00DC03AD" w:rsidRDefault="00DC03AD" w:rsidP="00DC03AD">
      <w:pPr>
        <w:overflowPunct/>
        <w:autoSpaceDE/>
        <w:autoSpaceDN/>
        <w:adjustRightInd/>
        <w:spacing w:after="0"/>
        <w:textAlignment w:val="auto"/>
      </w:pPr>
    </w:p>
    <w:p w14:paraId="13F98B49" w14:textId="00BA15E2" w:rsidR="00DC03AD" w:rsidRDefault="000857BF" w:rsidP="00F34A4F">
      <w:pPr>
        <w:keepNext/>
        <w:overflowPunct/>
        <w:autoSpaceDE/>
        <w:autoSpaceDN/>
        <w:adjustRightInd/>
        <w:spacing w:after="0"/>
        <w:jc w:val="center"/>
        <w:textAlignment w:val="auto"/>
      </w:pPr>
      <w:r>
        <w:rPr>
          <w:noProof/>
        </w:rPr>
        <w:drawing>
          <wp:inline distT="0" distB="0" distL="0" distR="0" wp14:anchorId="22B333A1" wp14:editId="61161510">
            <wp:extent cx="5313976" cy="1068309"/>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2098" cy="1084015"/>
                    </a:xfrm>
                    <a:prstGeom prst="rect">
                      <a:avLst/>
                    </a:prstGeom>
                    <a:noFill/>
                    <a:ln>
                      <a:noFill/>
                    </a:ln>
                  </pic:spPr>
                </pic:pic>
              </a:graphicData>
            </a:graphic>
          </wp:inline>
        </w:drawing>
      </w:r>
    </w:p>
    <w:p w14:paraId="67613666" w14:textId="70E9EE3E" w:rsidR="00DC03AD" w:rsidRDefault="00DC03AD" w:rsidP="00DC03AD">
      <w:pPr>
        <w:pStyle w:val="Caption"/>
        <w:jc w:val="center"/>
      </w:pPr>
      <w:r>
        <w:t xml:space="preserve">Figure </w:t>
      </w:r>
      <w:r>
        <w:fldChar w:fldCharType="begin"/>
      </w:r>
      <w:r>
        <w:instrText xml:space="preserve"> SEQ Figure \* ARABIC </w:instrText>
      </w:r>
      <w:r>
        <w:fldChar w:fldCharType="separate"/>
      </w:r>
      <w:r w:rsidR="00A86351">
        <w:rPr>
          <w:noProof/>
        </w:rPr>
        <w:t>4</w:t>
      </w:r>
      <w:r>
        <w:fldChar w:fldCharType="end"/>
      </w:r>
      <w:r>
        <w:t xml:space="preserve"> Inter-slot frequency hopping with DMRS bundling</w:t>
      </w:r>
    </w:p>
    <w:p w14:paraId="1770E0D1" w14:textId="67ED97A9" w:rsidR="00DC03AD" w:rsidRPr="00F34A4F" w:rsidRDefault="00DC03AD" w:rsidP="00DC03AD">
      <w:r w:rsidRPr="009D512C">
        <w:rPr>
          <w:b/>
          <w:bCs/>
        </w:rPr>
        <w:t>Proposal</w:t>
      </w:r>
      <w:r>
        <w:rPr>
          <w:b/>
          <w:bCs/>
        </w:rPr>
        <w:t xml:space="preserve"> </w:t>
      </w:r>
      <w:r w:rsidR="00E22EE2">
        <w:rPr>
          <w:b/>
          <w:bCs/>
        </w:rPr>
        <w:t>7</w:t>
      </w:r>
      <w:r w:rsidRPr="009D512C">
        <w:rPr>
          <w:b/>
          <w:bCs/>
        </w:rPr>
        <w:t xml:space="preserve">: </w:t>
      </w:r>
      <w:r w:rsidRPr="00F34A4F">
        <w:t>Consider the following procedure for inter-slot frequency hopping with DMRS bundling:</w:t>
      </w:r>
    </w:p>
    <w:p w14:paraId="606D6BC5" w14:textId="609C0E5D" w:rsidR="00DC03AD" w:rsidRPr="00F34A4F" w:rsidRDefault="00DC03AD" w:rsidP="00DC03AD">
      <w:pPr>
        <w:pStyle w:val="ListParagraph"/>
        <w:numPr>
          <w:ilvl w:val="1"/>
          <w:numId w:val="63"/>
        </w:numPr>
        <w:overflowPunct/>
        <w:autoSpaceDE/>
        <w:autoSpaceDN/>
        <w:adjustRightInd/>
        <w:spacing w:after="0"/>
        <w:contextualSpacing w:val="0"/>
        <w:textAlignment w:val="auto"/>
      </w:pPr>
      <w:r w:rsidRPr="00F34A4F">
        <w:t>Identify available slots for PUCCH rep</w:t>
      </w:r>
      <w:r w:rsidR="00661938" w:rsidRPr="00F34A4F">
        <w:t>etitions</w:t>
      </w:r>
    </w:p>
    <w:p w14:paraId="60CC4718" w14:textId="5FC7056F" w:rsidR="00DC03AD" w:rsidRPr="00F34A4F" w:rsidRDefault="00DC03AD" w:rsidP="00DC03AD">
      <w:pPr>
        <w:pStyle w:val="ListParagraph"/>
        <w:numPr>
          <w:ilvl w:val="1"/>
          <w:numId w:val="63"/>
        </w:numPr>
        <w:overflowPunct/>
        <w:autoSpaceDE/>
        <w:autoSpaceDN/>
        <w:adjustRightInd/>
        <w:spacing w:after="0"/>
        <w:contextualSpacing w:val="0"/>
        <w:textAlignment w:val="auto"/>
      </w:pPr>
      <w:r w:rsidRPr="00F34A4F">
        <w:t>Determine frequency hopping index for each available slot based on the configured hopping pattern</w:t>
      </w:r>
      <w:r w:rsidR="00E520F6">
        <w:t xml:space="preserve"> for DMRS bundling</w:t>
      </w:r>
    </w:p>
    <w:p w14:paraId="17D05E74" w14:textId="2B96E9FC" w:rsidR="00DC03AD" w:rsidRDefault="00DC03AD" w:rsidP="00DC03AD">
      <w:pPr>
        <w:pStyle w:val="ListParagraph"/>
        <w:numPr>
          <w:ilvl w:val="1"/>
          <w:numId w:val="63"/>
        </w:numPr>
        <w:overflowPunct/>
        <w:autoSpaceDE/>
        <w:autoSpaceDN/>
        <w:adjustRightInd/>
        <w:spacing w:after="0"/>
        <w:contextualSpacing w:val="0"/>
        <w:textAlignment w:val="auto"/>
      </w:pPr>
      <w:r w:rsidRPr="00F34A4F">
        <w:t xml:space="preserve">Determine </w:t>
      </w:r>
      <w:r w:rsidR="007B2F77">
        <w:t xml:space="preserve">configured </w:t>
      </w:r>
      <w:r w:rsidRPr="00F34A4F">
        <w:t>TDWs for DMRS bundling assuming frequency hop allocations made in Step 2. UE ensures that no two slots with different hop indices are bundled together.</w:t>
      </w:r>
    </w:p>
    <w:p w14:paraId="215EC9A6" w14:textId="1F97FEBB" w:rsidR="000B2115" w:rsidRDefault="000B2115" w:rsidP="000B2115">
      <w:pPr>
        <w:overflowPunct/>
        <w:autoSpaceDE/>
        <w:autoSpaceDN/>
        <w:adjustRightInd/>
        <w:spacing w:after="0"/>
        <w:textAlignment w:val="auto"/>
      </w:pPr>
    </w:p>
    <w:bookmarkEnd w:id="6"/>
    <w:p w14:paraId="0BC7FC76" w14:textId="77777777" w:rsidR="000958AF" w:rsidRPr="003E242C" w:rsidRDefault="000958AF" w:rsidP="000958AF">
      <w:pPr>
        <w:pStyle w:val="Heading1"/>
        <w:rPr>
          <w:rFonts w:ascii="Times New Roman" w:hAnsi="Times New Roman"/>
          <w:lang w:val="en-US"/>
        </w:rPr>
      </w:pPr>
      <w:r w:rsidRPr="003E242C">
        <w:rPr>
          <w:rFonts w:ascii="Times New Roman" w:hAnsi="Times New Roman"/>
          <w:lang w:val="en-US"/>
        </w:rPr>
        <w:t xml:space="preserve">Conclusion </w:t>
      </w:r>
    </w:p>
    <w:p w14:paraId="24F17F77" w14:textId="772F25C6" w:rsidR="009A3BAA" w:rsidRPr="003E242C" w:rsidRDefault="009A3BAA" w:rsidP="009A3BAA">
      <w:pPr>
        <w:jc w:val="both"/>
      </w:pPr>
      <w:r w:rsidRPr="003E242C">
        <w:t xml:space="preserve">This document presents our views on dynamic indication of PUCCH repetition factor and DMRS bundling across PUCCH repetitions to extend PUCCH coverage. </w:t>
      </w:r>
      <w:proofErr w:type="gramStart"/>
      <w:r w:rsidRPr="003E242C">
        <w:t>In particular, we</w:t>
      </w:r>
      <w:proofErr w:type="gramEnd"/>
      <w:r w:rsidRPr="003E242C">
        <w:t xml:space="preserve"> have made the following observations and proposals: </w:t>
      </w:r>
    </w:p>
    <w:p w14:paraId="56DBE3E1" w14:textId="47CA7914" w:rsidR="009A3BAA" w:rsidRDefault="009A3BAA" w:rsidP="009A3BAA">
      <w:pPr>
        <w:rPr>
          <w:u w:val="single"/>
        </w:rPr>
      </w:pPr>
      <w:r w:rsidRPr="003E242C">
        <w:rPr>
          <w:u w:val="single"/>
        </w:rPr>
        <w:t>On dynamic indication of PUCCH repetition factor</w:t>
      </w:r>
    </w:p>
    <w:p w14:paraId="52D6A4BF" w14:textId="77777777" w:rsidR="00F52A7B" w:rsidRDefault="00F52A7B" w:rsidP="00F52A7B">
      <w:pPr>
        <w:jc w:val="both"/>
      </w:pPr>
      <w:r w:rsidRPr="00F34A4F">
        <w:rPr>
          <w:b/>
          <w:bCs/>
        </w:rPr>
        <w:t xml:space="preserve">Proposal </w:t>
      </w:r>
      <w:r>
        <w:rPr>
          <w:b/>
          <w:bCs/>
        </w:rPr>
        <w:t>1</w:t>
      </w:r>
      <w:r w:rsidRPr="00F34A4F">
        <w:rPr>
          <w:b/>
          <w:bCs/>
        </w:rPr>
        <w:t>:</w:t>
      </w:r>
      <w:r w:rsidRPr="00CB2F81">
        <w:t xml:space="preserve"> </w:t>
      </w:r>
      <w:r>
        <w:t>Support a</w:t>
      </w:r>
      <w:r w:rsidRPr="00CB2F81">
        <w:t>lso using other properties of PDCCH (</w:t>
      </w:r>
      <w:proofErr w:type="gramStart"/>
      <w:r w:rsidRPr="00CB2F81">
        <w:t>e.g.</w:t>
      </w:r>
      <w:proofErr w:type="gramEnd"/>
      <w:r w:rsidRPr="00CB2F81">
        <w:t xml:space="preserve"> PDCCH aggregation level), in addition to PRI and starting CCE index, to indicate the PUCCH resource.</w:t>
      </w:r>
    </w:p>
    <w:p w14:paraId="7EF3A47D" w14:textId="77777777" w:rsidR="00F52A7B" w:rsidRDefault="00F52A7B" w:rsidP="00F52A7B">
      <w:pPr>
        <w:jc w:val="both"/>
        <w:rPr>
          <w:b/>
          <w:bCs/>
        </w:rPr>
      </w:pPr>
      <w:r>
        <w:rPr>
          <w:b/>
          <w:bCs/>
        </w:rPr>
        <w:t>Proposal 2</w:t>
      </w:r>
      <w:r w:rsidRPr="000146B7">
        <w:rPr>
          <w:b/>
          <w:bCs/>
        </w:rPr>
        <w:t xml:space="preserve">: </w:t>
      </w:r>
      <w:r w:rsidRPr="00552415">
        <w:t>Support dynamic PUCCH repetition indication for HARQ-ACK for the first SPS PDSCH associated with the activation DCI</w:t>
      </w:r>
      <w:r>
        <w:t>.</w:t>
      </w:r>
      <w:r w:rsidRPr="000146B7">
        <w:rPr>
          <w:b/>
          <w:bCs/>
        </w:rPr>
        <w:t xml:space="preserve"> </w:t>
      </w:r>
    </w:p>
    <w:p w14:paraId="3D93D200" w14:textId="3D70E76C" w:rsidR="00F52A7B" w:rsidRPr="000E63F2" w:rsidRDefault="00F52A7B" w:rsidP="000E63F2">
      <w:pPr>
        <w:jc w:val="both"/>
      </w:pPr>
      <w:r w:rsidRPr="00F34A4F">
        <w:rPr>
          <w:b/>
          <w:bCs/>
        </w:rPr>
        <w:t xml:space="preserve">Proposal </w:t>
      </w:r>
      <w:r>
        <w:rPr>
          <w:b/>
          <w:bCs/>
        </w:rPr>
        <w:t>3</w:t>
      </w:r>
      <w:r w:rsidRPr="00F34A4F">
        <w:rPr>
          <w:b/>
          <w:bCs/>
        </w:rPr>
        <w:t>:</w:t>
      </w:r>
      <w:r>
        <w:t xml:space="preserve"> Support enhancing RRC signaling to allow d</w:t>
      </w:r>
      <w:r w:rsidRPr="007B5443">
        <w:t>ynamic indication of frequency hopping for PUCCH</w:t>
      </w:r>
      <w:r>
        <w:t xml:space="preserve"> repetition</w:t>
      </w:r>
      <w:r w:rsidRPr="007B5443">
        <w:t xml:space="preserve"> </w:t>
      </w:r>
      <w:r>
        <w:t>via indication of PUCCH resource.</w:t>
      </w:r>
    </w:p>
    <w:p w14:paraId="10B5E542" w14:textId="4461A091" w:rsidR="009A3BAA" w:rsidRDefault="009A3BAA" w:rsidP="009A3BAA">
      <w:pPr>
        <w:rPr>
          <w:u w:val="single"/>
        </w:rPr>
      </w:pPr>
      <w:r w:rsidRPr="003E242C">
        <w:rPr>
          <w:u w:val="single"/>
        </w:rPr>
        <w:t>On DMRS bundling across PUCCH repetitions</w:t>
      </w:r>
    </w:p>
    <w:p w14:paraId="5E1A86C7" w14:textId="77777777" w:rsidR="008B22EC" w:rsidRDefault="008B22EC" w:rsidP="008B22EC">
      <w:pPr>
        <w:jc w:val="both"/>
        <w:rPr>
          <w:lang w:eastAsia="ko-KR"/>
        </w:rPr>
      </w:pPr>
      <w:r>
        <w:rPr>
          <w:b/>
          <w:bCs/>
        </w:rPr>
        <w:t xml:space="preserve">Proposal 4: </w:t>
      </w:r>
      <w:r w:rsidRPr="00F831A5">
        <w:t>RAN1 to confirm that use cases 3 and 4a are the only two use cases for PUCCH DMRS bundling.</w:t>
      </w:r>
      <w:r>
        <w:t xml:space="preserve"> </w:t>
      </w:r>
    </w:p>
    <w:p w14:paraId="33D444B5" w14:textId="77777777" w:rsidR="00491993" w:rsidRDefault="00491993" w:rsidP="00491993">
      <w:pPr>
        <w:jc w:val="both"/>
        <w:rPr>
          <w:b/>
          <w:lang w:eastAsia="zh-CN"/>
        </w:rPr>
      </w:pPr>
      <w:r>
        <w:rPr>
          <w:b/>
          <w:lang w:eastAsia="zh-CN"/>
        </w:rPr>
        <w:lastRenderedPageBreak/>
        <w:t xml:space="preserve">Proposal 5: </w:t>
      </w:r>
      <w:r w:rsidRPr="00F831A5">
        <w:rPr>
          <w:bCs/>
          <w:lang w:eastAsia="zh-CN"/>
        </w:rPr>
        <w:t>For PUCCH DMRS bundling, reuse the procedure to determine time domain windows (TDWs) developed for PUSCH DMRS bundling</w:t>
      </w:r>
      <w:r>
        <w:rPr>
          <w:b/>
          <w:lang w:eastAsia="zh-CN"/>
        </w:rPr>
        <w:t>.</w:t>
      </w:r>
    </w:p>
    <w:p w14:paraId="7740932F" w14:textId="77777777" w:rsidR="00491993" w:rsidRDefault="00491993" w:rsidP="00491993">
      <w:pPr>
        <w:jc w:val="both"/>
        <w:rPr>
          <w:lang w:eastAsia="zh-CN"/>
        </w:rPr>
      </w:pPr>
      <w:r w:rsidRPr="00DD5D8D">
        <w:rPr>
          <w:b/>
          <w:bCs/>
        </w:rPr>
        <w:t>Proposal</w:t>
      </w:r>
      <w:r>
        <w:rPr>
          <w:b/>
          <w:bCs/>
        </w:rPr>
        <w:t xml:space="preserve"> 6</w:t>
      </w:r>
      <w:r w:rsidRPr="00DD5D8D">
        <w:rPr>
          <w:b/>
          <w:bCs/>
        </w:rPr>
        <w:t>:</w:t>
      </w:r>
      <w:r>
        <w:t xml:space="preserve"> </w:t>
      </w:r>
      <w:r w:rsidRPr="00C4161F">
        <w:t>Subject to the prerequisites of DMRS bundling for PUCCH repetitions</w:t>
      </w:r>
      <w:r w:rsidRPr="00DD5D8D">
        <w:rPr>
          <w:lang w:eastAsia="zh-CN"/>
        </w:rPr>
        <w:t>, when configuring PUCCH repetitions with DMRS bundling, the DMRS bundling configuration is specified per PUCCH resource.</w:t>
      </w:r>
    </w:p>
    <w:p w14:paraId="44A6EBA8" w14:textId="77777777" w:rsidR="00E22EE2" w:rsidRPr="00F34A4F" w:rsidRDefault="00E22EE2" w:rsidP="00E22EE2">
      <w:r w:rsidRPr="009D512C">
        <w:rPr>
          <w:b/>
          <w:bCs/>
        </w:rPr>
        <w:t>Proposal</w:t>
      </w:r>
      <w:r>
        <w:rPr>
          <w:b/>
          <w:bCs/>
        </w:rPr>
        <w:t xml:space="preserve"> 7</w:t>
      </w:r>
      <w:r w:rsidRPr="009D512C">
        <w:rPr>
          <w:b/>
          <w:bCs/>
        </w:rPr>
        <w:t xml:space="preserve">: </w:t>
      </w:r>
      <w:r w:rsidRPr="00F34A4F">
        <w:t>Consider the following procedure for inter-slot frequency hopping with DMRS bundling:</w:t>
      </w:r>
    </w:p>
    <w:p w14:paraId="52AB6C50" w14:textId="77777777" w:rsidR="00E22EE2" w:rsidRPr="00F34A4F" w:rsidRDefault="00E22EE2" w:rsidP="00E22EE2">
      <w:pPr>
        <w:pStyle w:val="ListParagraph"/>
        <w:numPr>
          <w:ilvl w:val="0"/>
          <w:numId w:val="70"/>
        </w:numPr>
        <w:overflowPunct/>
        <w:autoSpaceDE/>
        <w:autoSpaceDN/>
        <w:adjustRightInd/>
        <w:spacing w:after="0"/>
        <w:contextualSpacing w:val="0"/>
        <w:textAlignment w:val="auto"/>
      </w:pPr>
      <w:r w:rsidRPr="00F34A4F">
        <w:t>Identify available slots for PUCCH repetitions</w:t>
      </w:r>
    </w:p>
    <w:p w14:paraId="15672291" w14:textId="77777777" w:rsidR="00E22EE2" w:rsidRPr="00F34A4F" w:rsidRDefault="00E22EE2" w:rsidP="00E22EE2">
      <w:pPr>
        <w:pStyle w:val="ListParagraph"/>
        <w:numPr>
          <w:ilvl w:val="0"/>
          <w:numId w:val="70"/>
        </w:numPr>
        <w:overflowPunct/>
        <w:autoSpaceDE/>
        <w:autoSpaceDN/>
        <w:adjustRightInd/>
        <w:spacing w:after="0"/>
        <w:contextualSpacing w:val="0"/>
        <w:textAlignment w:val="auto"/>
      </w:pPr>
      <w:r w:rsidRPr="00F34A4F">
        <w:t>Determine frequency hopping index for each available slot based on the configured hopping pattern</w:t>
      </w:r>
      <w:r>
        <w:t xml:space="preserve"> for DMRS bundling</w:t>
      </w:r>
    </w:p>
    <w:p w14:paraId="30A5BE90" w14:textId="77777777" w:rsidR="00E22EE2" w:rsidRDefault="00E22EE2" w:rsidP="00E22EE2">
      <w:pPr>
        <w:pStyle w:val="ListParagraph"/>
        <w:numPr>
          <w:ilvl w:val="0"/>
          <w:numId w:val="70"/>
        </w:numPr>
        <w:overflowPunct/>
        <w:autoSpaceDE/>
        <w:autoSpaceDN/>
        <w:adjustRightInd/>
        <w:spacing w:after="0"/>
        <w:contextualSpacing w:val="0"/>
        <w:textAlignment w:val="auto"/>
      </w:pPr>
      <w:r w:rsidRPr="00F34A4F">
        <w:t xml:space="preserve">Determine </w:t>
      </w:r>
      <w:r>
        <w:t xml:space="preserve">configured </w:t>
      </w:r>
      <w:r w:rsidRPr="00F34A4F">
        <w:t>TDWs for DMRS bundling assuming frequency hop allocations made in Step 2. UE ensures that no two slots with different hop indices are bundled together.</w:t>
      </w:r>
    </w:p>
    <w:p w14:paraId="69BE6FE0" w14:textId="77777777" w:rsidR="005D39E3" w:rsidRDefault="005D39E3" w:rsidP="009A3BAA">
      <w:pPr>
        <w:rPr>
          <w:u w:val="single"/>
        </w:rPr>
      </w:pPr>
    </w:p>
    <w:bookmarkEnd w:id="4"/>
    <w:p w14:paraId="2C0E101F" w14:textId="77777777" w:rsidR="00746535" w:rsidRPr="003E242C" w:rsidRDefault="00746535" w:rsidP="00746535">
      <w:pPr>
        <w:pStyle w:val="Heading1"/>
        <w:rPr>
          <w:rFonts w:ascii="Times New Roman" w:hAnsi="Times New Roman"/>
        </w:rPr>
      </w:pPr>
      <w:r w:rsidRPr="003E242C">
        <w:rPr>
          <w:rFonts w:ascii="Times New Roman" w:hAnsi="Times New Roman"/>
        </w:rPr>
        <w:t>Reference</w:t>
      </w:r>
    </w:p>
    <w:p w14:paraId="23A294BD" w14:textId="6F9D1603" w:rsidR="00746535" w:rsidRPr="009F33E3" w:rsidRDefault="00F33D11" w:rsidP="009D069D">
      <w:pPr>
        <w:pStyle w:val="ListParagraph"/>
        <w:numPr>
          <w:ilvl w:val="0"/>
          <w:numId w:val="40"/>
        </w:numPr>
        <w:autoSpaceDE/>
        <w:autoSpaceDN/>
        <w:spacing w:after="80" w:line="256" w:lineRule="auto"/>
      </w:pPr>
      <w:bookmarkStart w:id="7" w:name="_Ref40432871"/>
      <w:bookmarkStart w:id="8" w:name="_Ref40108232"/>
      <w:r w:rsidRPr="00F33D11">
        <w:t>RP-210855</w:t>
      </w:r>
      <w:bookmarkEnd w:id="7"/>
      <w:bookmarkEnd w:id="8"/>
      <w:r>
        <w:t xml:space="preserve">, </w:t>
      </w:r>
      <w:r w:rsidRPr="00F33D11">
        <w:t>Revised WID on NR coverage enhancements</w:t>
      </w:r>
    </w:p>
    <w:p w14:paraId="17F31FEA" w14:textId="036A5228" w:rsidR="003E242C" w:rsidRDefault="009D069D" w:rsidP="000958AF">
      <w:pPr>
        <w:pStyle w:val="References"/>
        <w:numPr>
          <w:ilvl w:val="0"/>
          <w:numId w:val="40"/>
        </w:numPr>
        <w:autoSpaceDE/>
        <w:autoSpaceDN/>
        <w:snapToGrid/>
        <w:spacing w:after="80" w:line="256" w:lineRule="auto"/>
        <w:rPr>
          <w:szCs w:val="20"/>
        </w:rPr>
      </w:pPr>
      <w:bookmarkStart w:id="9" w:name="_Ref71532427"/>
      <w:r w:rsidRPr="009D069D">
        <w:rPr>
          <w:szCs w:val="20"/>
        </w:rPr>
        <w:t>R1-2104119</w:t>
      </w:r>
      <w:r>
        <w:rPr>
          <w:szCs w:val="20"/>
        </w:rPr>
        <w:t xml:space="preserve">, </w:t>
      </w:r>
      <w:r w:rsidRPr="009D069D">
        <w:rPr>
          <w:szCs w:val="20"/>
        </w:rPr>
        <w:t>Reply LS on PUCCH and PUSCH repetition</w:t>
      </w:r>
      <w:bookmarkEnd w:id="9"/>
    </w:p>
    <w:p w14:paraId="31998FC3" w14:textId="3863BF51" w:rsidR="00EA37B4" w:rsidRPr="00C1073D" w:rsidRDefault="00EA37B4">
      <w:pPr>
        <w:pStyle w:val="References"/>
        <w:numPr>
          <w:ilvl w:val="0"/>
          <w:numId w:val="40"/>
        </w:numPr>
        <w:autoSpaceDE/>
        <w:autoSpaceDN/>
        <w:snapToGrid/>
        <w:spacing w:after="80" w:line="256" w:lineRule="auto"/>
        <w:rPr>
          <w:szCs w:val="20"/>
        </w:rPr>
      </w:pPr>
      <w:bookmarkStart w:id="10" w:name="_Ref61385125"/>
      <w:r w:rsidRPr="0092393B">
        <w:t>R</w:t>
      </w:r>
      <w:r>
        <w:t>4</w:t>
      </w:r>
      <w:r w:rsidRPr="0092393B">
        <w:t>-2</w:t>
      </w:r>
      <w:r>
        <w:t>1</w:t>
      </w:r>
      <w:r w:rsidRPr="0092393B">
        <w:t>0</w:t>
      </w:r>
      <w:r>
        <w:t xml:space="preserve">3393, </w:t>
      </w:r>
      <w:r w:rsidRPr="00057758">
        <w:t>Reply on LS on PUCCH and PUSCH repetition</w:t>
      </w:r>
      <w:r>
        <w:t>.</w:t>
      </w:r>
      <w:bookmarkEnd w:id="10"/>
    </w:p>
    <w:p w14:paraId="10720437" w14:textId="77777777" w:rsidR="00541D1D" w:rsidRDefault="00541D1D" w:rsidP="00541D1D">
      <w:pPr>
        <w:pStyle w:val="BodyText"/>
        <w:numPr>
          <w:ilvl w:val="0"/>
          <w:numId w:val="40"/>
        </w:numPr>
        <w:overflowPunct/>
        <w:autoSpaceDE/>
        <w:autoSpaceDN/>
        <w:adjustRightInd/>
        <w:snapToGrid w:val="0"/>
        <w:spacing w:beforeLines="50" w:before="120" w:after="120" w:line="268" w:lineRule="auto"/>
        <w:contextualSpacing/>
        <w:jc w:val="both"/>
        <w:textAlignment w:val="auto"/>
      </w:pPr>
      <w:r w:rsidRPr="00177CA3">
        <w:rPr>
          <w:color w:val="000000"/>
        </w:rPr>
        <w:t xml:space="preserve">Chairman notes, </w:t>
      </w:r>
      <w:r w:rsidRPr="00824450">
        <w:t>3GPP TSG RAN</w:t>
      </w:r>
      <w:r>
        <w:t>1</w:t>
      </w:r>
      <w:r w:rsidRPr="00824450">
        <w:t xml:space="preserve"> meeting #</w:t>
      </w:r>
      <w:r>
        <w:t>104-</w:t>
      </w:r>
      <w:r w:rsidRPr="00824450">
        <w:t>e,</w:t>
      </w:r>
      <w:r>
        <w:t xml:space="preserve"> e-Meeting, </w:t>
      </w:r>
      <w:r w:rsidRPr="00177CA3">
        <w:t>January 25th – February 5th, 2021</w:t>
      </w:r>
      <w:r>
        <w:t>.</w:t>
      </w:r>
    </w:p>
    <w:p w14:paraId="0453FB1C" w14:textId="5408561D" w:rsidR="00541D1D" w:rsidRPr="00CF6639" w:rsidRDefault="00541D1D" w:rsidP="00541D1D">
      <w:pPr>
        <w:pStyle w:val="BodyText"/>
        <w:numPr>
          <w:ilvl w:val="0"/>
          <w:numId w:val="40"/>
        </w:numPr>
        <w:overflowPunct/>
        <w:autoSpaceDE/>
        <w:autoSpaceDN/>
        <w:adjustRightInd/>
        <w:snapToGrid w:val="0"/>
        <w:spacing w:beforeLines="50" w:before="120" w:after="120" w:line="268" w:lineRule="auto"/>
        <w:contextualSpacing/>
        <w:jc w:val="both"/>
        <w:textAlignment w:val="auto"/>
      </w:pPr>
      <w:r w:rsidRPr="00177CA3">
        <w:rPr>
          <w:color w:val="000000"/>
        </w:rPr>
        <w:t xml:space="preserve">Chairman notes, </w:t>
      </w:r>
      <w:r w:rsidRPr="00824450">
        <w:t>3GPP TSG RAN</w:t>
      </w:r>
      <w:r>
        <w:t>1</w:t>
      </w:r>
      <w:r w:rsidRPr="00824450">
        <w:t xml:space="preserve"> meeting #</w:t>
      </w:r>
      <w:r>
        <w:t>105-</w:t>
      </w:r>
      <w:r w:rsidRPr="00824450">
        <w:t>e,</w:t>
      </w:r>
      <w:r>
        <w:t xml:space="preserve"> e-</w:t>
      </w:r>
      <w:r w:rsidRPr="00FD6836">
        <w:t xml:space="preserve">Meeting, </w:t>
      </w:r>
      <w:r w:rsidRPr="00FD6836">
        <w:rPr>
          <w:bCs/>
        </w:rPr>
        <w:t xml:space="preserve">May 10th – 27th, </w:t>
      </w:r>
      <w:r w:rsidRPr="00FD6836" w:rsidDel="005A4352">
        <w:rPr>
          <w:bCs/>
        </w:rPr>
        <w:t>2021</w:t>
      </w:r>
      <w:r w:rsidRPr="00FD6836">
        <w:rPr>
          <w:bCs/>
        </w:rPr>
        <w:t>.</w:t>
      </w:r>
    </w:p>
    <w:p w14:paraId="5EDC80A2" w14:textId="38A63BB4" w:rsidR="00BD2FD9" w:rsidRPr="000E63F2" w:rsidRDefault="00BD2FD9">
      <w:pPr>
        <w:pStyle w:val="ListParagraph"/>
        <w:numPr>
          <w:ilvl w:val="0"/>
          <w:numId w:val="40"/>
        </w:numPr>
      </w:pPr>
      <w:r w:rsidRPr="00BD2FD9">
        <w:rPr>
          <w:rFonts w:eastAsia="Times New Roman"/>
          <w:lang w:val="en-GB" w:eastAsia="en-GB"/>
        </w:rPr>
        <w:t>Chairman notes, 3GPP TSG RAN1 meeting #10</w:t>
      </w:r>
      <w:r w:rsidR="008C33B5">
        <w:rPr>
          <w:rFonts w:eastAsia="Times New Roman"/>
          <w:lang w:val="en-GB" w:eastAsia="en-GB"/>
        </w:rPr>
        <w:t>6</w:t>
      </w:r>
      <w:r w:rsidRPr="00BD2FD9">
        <w:rPr>
          <w:rFonts w:eastAsia="Times New Roman"/>
          <w:lang w:val="en-GB" w:eastAsia="en-GB"/>
        </w:rPr>
        <w:t xml:space="preserve">-e, e-Meeting, </w:t>
      </w:r>
      <w:r w:rsidR="00DD283F">
        <w:rPr>
          <w:rFonts w:eastAsia="Times New Roman"/>
          <w:lang w:val="en-GB" w:eastAsia="en-GB"/>
        </w:rPr>
        <w:t>August</w:t>
      </w:r>
      <w:r w:rsidRPr="00BD2FD9">
        <w:rPr>
          <w:rFonts w:eastAsia="Times New Roman"/>
          <w:lang w:val="en-GB" w:eastAsia="en-GB"/>
        </w:rPr>
        <w:t xml:space="preserve"> 1</w:t>
      </w:r>
      <w:r w:rsidR="001436CA">
        <w:rPr>
          <w:rFonts w:eastAsia="Times New Roman"/>
          <w:lang w:val="en-GB" w:eastAsia="en-GB"/>
        </w:rPr>
        <w:t>6</w:t>
      </w:r>
      <w:r w:rsidRPr="00BD2FD9">
        <w:rPr>
          <w:rFonts w:eastAsia="Times New Roman"/>
          <w:lang w:val="en-GB" w:eastAsia="en-GB"/>
        </w:rPr>
        <w:t>th – 27th, 2021.</w:t>
      </w:r>
    </w:p>
    <w:p w14:paraId="294F0C50" w14:textId="78BF0FB6" w:rsidR="00DD283F" w:rsidRDefault="00DD283F" w:rsidP="00DD283F">
      <w:pPr>
        <w:pStyle w:val="Heading1"/>
        <w:numPr>
          <w:ilvl w:val="0"/>
          <w:numId w:val="0"/>
        </w:numPr>
        <w:ind w:left="432" w:hanging="432"/>
        <w:rPr>
          <w:lang w:val="en-US"/>
        </w:rPr>
      </w:pPr>
      <w:r>
        <w:rPr>
          <w:lang w:val="en-US"/>
        </w:rPr>
        <w:t xml:space="preserve">Appendix </w:t>
      </w:r>
      <w:r w:rsidR="00F40494">
        <w:rPr>
          <w:lang w:val="en-US"/>
        </w:rPr>
        <w:t>A</w:t>
      </w:r>
      <w:r>
        <w:rPr>
          <w:lang w:val="en-US"/>
        </w:rPr>
        <w:t>: Agreements in RAN1 105-e e-meeting</w:t>
      </w:r>
    </w:p>
    <w:p w14:paraId="1EE609B9" w14:textId="77777777" w:rsidR="00D84ECE" w:rsidRDefault="00D84ECE" w:rsidP="00D84ECE">
      <w:pPr>
        <w:jc w:val="both"/>
      </w:pPr>
    </w:p>
    <w:tbl>
      <w:tblPr>
        <w:tblStyle w:val="TableGrid"/>
        <w:tblW w:w="0" w:type="auto"/>
        <w:tblLook w:val="04A0" w:firstRow="1" w:lastRow="0" w:firstColumn="1" w:lastColumn="0" w:noHBand="0" w:noVBand="1"/>
      </w:tblPr>
      <w:tblGrid>
        <w:gridCol w:w="9350"/>
      </w:tblGrid>
      <w:tr w:rsidR="00D84ECE" w14:paraId="280DFF59" w14:textId="77777777" w:rsidTr="00433E99">
        <w:tc>
          <w:tcPr>
            <w:tcW w:w="9350" w:type="dxa"/>
          </w:tcPr>
          <w:p w14:paraId="7A0FCF6D" w14:textId="77777777" w:rsidR="00D84ECE" w:rsidRPr="00406A8A" w:rsidRDefault="00D84ECE" w:rsidP="00433E99">
            <w:r w:rsidRPr="00406A8A">
              <w:rPr>
                <w:highlight w:val="green"/>
              </w:rPr>
              <w:t>Agreement</w:t>
            </w:r>
            <w:r w:rsidRPr="00406A8A">
              <w:t>: For DMRS bundling for PUCCH repetitions, specify a time domain window during which a UE is expected to maintain power consistency and phase continuity among PUCCH repetitions subject to power consistency and phase continuity requirements.</w:t>
            </w:r>
          </w:p>
          <w:p w14:paraId="4B9584E7" w14:textId="77777777" w:rsidR="00D84ECE" w:rsidRPr="00406A8A" w:rsidRDefault="00D84ECE" w:rsidP="00433E99">
            <w:pPr>
              <w:pStyle w:val="ListParagraph"/>
              <w:numPr>
                <w:ilvl w:val="0"/>
                <w:numId w:val="60"/>
              </w:numPr>
              <w:overflowPunct/>
              <w:autoSpaceDE/>
              <w:autoSpaceDN/>
              <w:adjustRightInd/>
              <w:spacing w:after="160" w:line="280" w:lineRule="atLeast"/>
              <w:contextualSpacing w:val="0"/>
              <w:jc w:val="both"/>
              <w:textAlignment w:val="auto"/>
            </w:pPr>
            <w:r w:rsidRPr="00406A8A">
              <w:rPr>
                <w:color w:val="000000"/>
              </w:rPr>
              <w:t xml:space="preserve">Strive for </w:t>
            </w:r>
            <w:r w:rsidRPr="002F0103">
              <w:rPr>
                <w:color w:val="000000"/>
              </w:rPr>
              <w:t>common design of</w:t>
            </w:r>
            <w:r w:rsidRPr="00406A8A">
              <w:rPr>
                <w:color w:val="000000"/>
              </w:rPr>
              <w:t xml:space="preserve"> the time domain window for PUSCH/PUCCH with DMRS bundling as much</w:t>
            </w:r>
            <w:r w:rsidRPr="00406A8A">
              <w:t xml:space="preserve"> as possible. </w:t>
            </w:r>
          </w:p>
          <w:p w14:paraId="421878F2" w14:textId="77777777" w:rsidR="00D84ECE" w:rsidRPr="00C83104" w:rsidRDefault="00D84ECE" w:rsidP="00433E99">
            <w:pPr>
              <w:rPr>
                <w:lang w:eastAsia="ja-JP"/>
              </w:rPr>
            </w:pPr>
            <w:r w:rsidRPr="00C83104">
              <w:rPr>
                <w:highlight w:val="darkYellow"/>
                <w:lang w:eastAsia="ja-JP"/>
              </w:rPr>
              <w:t>Working assumption</w:t>
            </w:r>
            <w:r w:rsidRPr="00C83104">
              <w:rPr>
                <w:lang w:eastAsia="ja-JP"/>
              </w:rPr>
              <w:t xml:space="preserve">: In Rel-17, for a PUCCH with associated scheduling DCI, support the following for dynamic PUCCH repetition factor indication. </w:t>
            </w:r>
          </w:p>
          <w:p w14:paraId="3FE4AC63" w14:textId="77777777" w:rsidR="00D84ECE" w:rsidRPr="00C83104" w:rsidRDefault="00D84ECE" w:rsidP="00433E99">
            <w:pPr>
              <w:pStyle w:val="ListParagraph"/>
              <w:numPr>
                <w:ilvl w:val="0"/>
                <w:numId w:val="61"/>
              </w:numPr>
              <w:overflowPunct/>
              <w:autoSpaceDE/>
              <w:autoSpaceDN/>
              <w:adjustRightInd/>
              <w:spacing w:after="0" w:line="280" w:lineRule="atLeast"/>
              <w:contextualSpacing w:val="0"/>
              <w:textAlignment w:val="auto"/>
              <w:rPr>
                <w:lang w:eastAsia="en-US"/>
              </w:rPr>
            </w:pPr>
            <w:r w:rsidRPr="00C83104">
              <w:t xml:space="preserve">Enhance RRC </w:t>
            </w:r>
            <w:proofErr w:type="spellStart"/>
            <w:r w:rsidRPr="00C83104">
              <w:t>signaling</w:t>
            </w:r>
            <w:proofErr w:type="spellEnd"/>
            <w:r w:rsidRPr="00C83104">
              <w:t xml:space="preserve">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42B62EF3" w14:textId="77777777" w:rsidR="00D84ECE" w:rsidRPr="00C83104" w:rsidRDefault="00D84ECE" w:rsidP="00433E99">
            <w:pPr>
              <w:pStyle w:val="ListParagraph"/>
              <w:numPr>
                <w:ilvl w:val="1"/>
                <w:numId w:val="61"/>
              </w:numPr>
              <w:overflowPunct/>
              <w:autoSpaceDE/>
              <w:autoSpaceDN/>
              <w:adjustRightInd/>
              <w:spacing w:after="0" w:line="280" w:lineRule="atLeast"/>
              <w:contextualSpacing w:val="0"/>
              <w:textAlignment w:val="auto"/>
            </w:pPr>
            <w:r w:rsidRPr="00C83104">
              <w:t xml:space="preserve">FFS: RRC </w:t>
            </w:r>
            <w:proofErr w:type="spellStart"/>
            <w:r w:rsidRPr="00C83104">
              <w:t>signaling</w:t>
            </w:r>
            <w:proofErr w:type="spellEnd"/>
            <w:r w:rsidRPr="00C83104">
              <w:t xml:space="preserve"> enhancement details</w:t>
            </w:r>
          </w:p>
          <w:p w14:paraId="62340A13" w14:textId="77777777" w:rsidR="00D84ECE" w:rsidRDefault="00D84ECE" w:rsidP="00433E99">
            <w:pPr>
              <w:rPr>
                <w:rFonts w:ascii="Calibri" w:hAnsi="Calibri" w:cs="Calibri"/>
                <w:lang w:eastAsia="ja-JP"/>
              </w:rPr>
            </w:pPr>
          </w:p>
          <w:p w14:paraId="01736707" w14:textId="77777777" w:rsidR="00D84ECE" w:rsidRPr="000D3D4D" w:rsidRDefault="00D84ECE" w:rsidP="00433E99">
            <w:pPr>
              <w:rPr>
                <w:lang w:eastAsia="ja-JP"/>
              </w:rPr>
            </w:pPr>
            <w:r w:rsidRPr="000D3D4D">
              <w:rPr>
                <w:b/>
                <w:bCs/>
                <w:u w:val="single"/>
                <w:lang w:eastAsia="ja-JP"/>
              </w:rPr>
              <w:t>Conclusion</w:t>
            </w:r>
            <w:r w:rsidRPr="000D3D4D">
              <w:rPr>
                <w:lang w:eastAsia="ja-JP"/>
              </w:rPr>
              <w:t>: For PUCCH repetitions, the following use cases are deprioritized in RAN1 work on PUCCH DMRS bundling</w:t>
            </w:r>
          </w:p>
          <w:p w14:paraId="43442F24" w14:textId="77777777" w:rsidR="00D84ECE" w:rsidRPr="000D3D4D" w:rsidRDefault="00D84ECE" w:rsidP="00433E99">
            <w:pPr>
              <w:pStyle w:val="BodyText"/>
              <w:spacing w:before="120"/>
              <w:ind w:left="708" w:hanging="420"/>
              <w:rPr>
                <w:lang w:eastAsia="ko-KR"/>
              </w:rPr>
            </w:pPr>
            <w:r w:rsidRPr="000D3D4D">
              <w:rPr>
                <w:rFonts w:ascii="Wingdings" w:hAnsi="Wingdings"/>
                <w:lang w:eastAsia="ko-KR"/>
              </w:rPr>
              <w:t>Ÿ</w:t>
            </w:r>
            <w:r w:rsidRPr="000D3D4D">
              <w:rPr>
                <w:lang w:eastAsia="ko-KR"/>
              </w:rPr>
              <w:t xml:space="preserve">   Use case 1: back-to-back PUCCH </w:t>
            </w:r>
            <w:r w:rsidRPr="000D3D4D">
              <w:t xml:space="preserve">repetitions </w:t>
            </w:r>
            <w:r w:rsidRPr="000D3D4D">
              <w:rPr>
                <w:lang w:eastAsia="ko-KR"/>
              </w:rPr>
              <w:t>within one slot.</w:t>
            </w:r>
          </w:p>
          <w:p w14:paraId="29D14961" w14:textId="77777777" w:rsidR="00D84ECE" w:rsidRPr="000D3D4D" w:rsidRDefault="00D84ECE" w:rsidP="00433E99">
            <w:pPr>
              <w:pStyle w:val="BodyText"/>
              <w:spacing w:before="120"/>
              <w:ind w:left="708" w:hanging="420"/>
              <w:rPr>
                <w:lang w:eastAsia="ko-KR"/>
              </w:rPr>
            </w:pPr>
            <w:r w:rsidRPr="000D3D4D">
              <w:rPr>
                <w:rFonts w:ascii="Wingdings" w:hAnsi="Wingdings"/>
                <w:lang w:eastAsia="ko-KR"/>
              </w:rPr>
              <w:t>Ÿ</w:t>
            </w:r>
            <w:r w:rsidRPr="000D3D4D">
              <w:rPr>
                <w:lang w:eastAsia="ko-KR"/>
              </w:rPr>
              <w:t xml:space="preserve">   Use case 2: non-back-to-back PUCCH </w:t>
            </w:r>
            <w:r w:rsidRPr="000D3D4D">
              <w:t xml:space="preserve">repetitions </w:t>
            </w:r>
            <w:r w:rsidRPr="000D3D4D">
              <w:rPr>
                <w:lang w:eastAsia="ko-KR"/>
              </w:rPr>
              <w:t>within one slot.</w:t>
            </w:r>
          </w:p>
          <w:p w14:paraId="5CF8D040" w14:textId="77777777" w:rsidR="00D84ECE" w:rsidRPr="000D3D4D" w:rsidRDefault="00D84ECE" w:rsidP="00433E99">
            <w:pPr>
              <w:pStyle w:val="BodyText"/>
              <w:spacing w:before="120"/>
              <w:ind w:left="1128" w:hanging="420"/>
              <w:rPr>
                <w:lang w:eastAsia="ko-KR"/>
              </w:rPr>
            </w:pPr>
            <w:r w:rsidRPr="000D3D4D">
              <w:rPr>
                <w:rFonts w:ascii="SimSun" w:eastAsia="SimSun" w:hAnsi="SimSun" w:hint="eastAsia"/>
                <w:lang w:eastAsia="ko-KR"/>
              </w:rPr>
              <w:t>‐</w:t>
            </w:r>
            <w:r w:rsidRPr="000D3D4D">
              <w:rPr>
                <w:lang w:eastAsia="ko-KR"/>
              </w:rPr>
              <w:t xml:space="preserve">   Use case 2a: no uplink transmission in the middle of two PUCCH </w:t>
            </w:r>
            <w:r w:rsidRPr="000D3D4D">
              <w:t xml:space="preserve">repetitions </w:t>
            </w:r>
          </w:p>
          <w:p w14:paraId="505A0210" w14:textId="77777777" w:rsidR="00D84ECE" w:rsidRDefault="00D84ECE" w:rsidP="00433E99">
            <w:pPr>
              <w:pStyle w:val="BodyText"/>
              <w:spacing w:before="120"/>
              <w:ind w:left="1128" w:hanging="420"/>
              <w:rPr>
                <w:lang w:eastAsia="ko-KR"/>
              </w:rPr>
            </w:pPr>
            <w:r w:rsidRPr="000D3D4D">
              <w:rPr>
                <w:rFonts w:ascii="SimSun" w:eastAsia="SimSun" w:hAnsi="SimSun" w:hint="eastAsia"/>
                <w:lang w:eastAsia="ko-KR"/>
              </w:rPr>
              <w:t>‐</w:t>
            </w:r>
            <w:r w:rsidRPr="000D3D4D">
              <w:rPr>
                <w:lang w:eastAsia="ko-KR"/>
              </w:rPr>
              <w:t xml:space="preserve">   Use case 2b: other uplink transmissions in the middle of two PUCCH </w:t>
            </w:r>
            <w:r w:rsidRPr="000D3D4D">
              <w:t xml:space="preserve">repetitions </w:t>
            </w:r>
          </w:p>
        </w:tc>
      </w:tr>
    </w:tbl>
    <w:p w14:paraId="1AC5976E" w14:textId="58981920" w:rsidR="00DD283F" w:rsidRDefault="00DD283F" w:rsidP="00DD283F"/>
    <w:p w14:paraId="11A3C4DC" w14:textId="7F769911" w:rsidR="00DD283F" w:rsidRDefault="00DD283F" w:rsidP="00DD283F">
      <w:pPr>
        <w:pStyle w:val="Heading1"/>
        <w:numPr>
          <w:ilvl w:val="0"/>
          <w:numId w:val="0"/>
        </w:numPr>
        <w:ind w:left="432" w:hanging="432"/>
        <w:rPr>
          <w:lang w:val="en-US"/>
        </w:rPr>
      </w:pPr>
      <w:r>
        <w:rPr>
          <w:lang w:val="en-US"/>
        </w:rPr>
        <w:lastRenderedPageBreak/>
        <w:t xml:space="preserve">Appendix </w:t>
      </w:r>
      <w:r w:rsidR="00F40494">
        <w:rPr>
          <w:lang w:val="en-US"/>
        </w:rPr>
        <w:t>B</w:t>
      </w:r>
      <w:r>
        <w:rPr>
          <w:lang w:val="en-US"/>
        </w:rPr>
        <w:t>: Agreements in RAN1 106-e e-meeting</w:t>
      </w:r>
    </w:p>
    <w:p w14:paraId="78786370" w14:textId="77777777" w:rsidR="00F40494" w:rsidRPr="000E63F2" w:rsidRDefault="00F40494" w:rsidP="000E63F2"/>
    <w:tbl>
      <w:tblPr>
        <w:tblStyle w:val="TableGrid"/>
        <w:tblW w:w="0" w:type="auto"/>
        <w:tblLook w:val="04A0" w:firstRow="1" w:lastRow="0" w:firstColumn="1" w:lastColumn="0" w:noHBand="0" w:noVBand="1"/>
      </w:tblPr>
      <w:tblGrid>
        <w:gridCol w:w="9350"/>
      </w:tblGrid>
      <w:tr w:rsidR="00332A3F" w14:paraId="4590CC55" w14:textId="77777777" w:rsidTr="00433E99">
        <w:tc>
          <w:tcPr>
            <w:tcW w:w="9350" w:type="dxa"/>
          </w:tcPr>
          <w:p w14:paraId="0A9498FB" w14:textId="4100FD8A" w:rsidR="00332A3F" w:rsidRPr="009C2887" w:rsidRDefault="00332A3F" w:rsidP="00433E99">
            <w:pPr>
              <w:overflowPunct/>
              <w:autoSpaceDE/>
              <w:autoSpaceDN/>
              <w:adjustRightInd/>
              <w:spacing w:after="0"/>
              <w:textAlignment w:val="auto"/>
              <w:rPr>
                <w:rFonts w:ascii="Times" w:eastAsia="Batang" w:hAnsi="Times"/>
                <w:b/>
                <w:bCs/>
                <w:szCs w:val="24"/>
                <w:highlight w:val="green"/>
              </w:rPr>
            </w:pPr>
            <w:r w:rsidRPr="009C2887">
              <w:rPr>
                <w:rFonts w:ascii="Times" w:eastAsia="Batang" w:hAnsi="Times"/>
                <w:b/>
                <w:bCs/>
                <w:szCs w:val="24"/>
                <w:highlight w:val="green"/>
              </w:rPr>
              <w:t>Confirm the following working assumption</w:t>
            </w:r>
          </w:p>
          <w:p w14:paraId="01BD9BB2" w14:textId="77777777" w:rsidR="00332A3F" w:rsidRPr="009C2887" w:rsidRDefault="00332A3F" w:rsidP="00433E99">
            <w:pPr>
              <w:overflowPunct/>
              <w:autoSpaceDE/>
              <w:autoSpaceDN/>
              <w:adjustRightInd/>
              <w:spacing w:after="0"/>
              <w:textAlignment w:val="auto"/>
              <w:rPr>
                <w:rFonts w:ascii="Times" w:eastAsia="Batang" w:hAnsi="Times"/>
                <w:szCs w:val="24"/>
                <w:lang w:eastAsia="ja-JP"/>
              </w:rPr>
            </w:pPr>
            <w:r w:rsidRPr="009C2887">
              <w:rPr>
                <w:rFonts w:ascii="Times" w:eastAsia="Batang" w:hAnsi="Times"/>
                <w:szCs w:val="24"/>
                <w:highlight w:val="darkYellow"/>
                <w:lang w:eastAsia="ja-JP"/>
              </w:rPr>
              <w:t>Working assumption</w:t>
            </w:r>
            <w:r w:rsidRPr="009C2887">
              <w:rPr>
                <w:rFonts w:ascii="Times" w:eastAsia="Batang" w:hAnsi="Times"/>
                <w:szCs w:val="24"/>
                <w:lang w:eastAsia="ja-JP"/>
              </w:rPr>
              <w:t xml:space="preserve">: </w:t>
            </w:r>
          </w:p>
          <w:p w14:paraId="620AAC37" w14:textId="77777777" w:rsidR="00332A3F" w:rsidRPr="009C2887" w:rsidRDefault="00332A3F" w:rsidP="00433E99">
            <w:pPr>
              <w:overflowPunct/>
              <w:autoSpaceDE/>
              <w:autoSpaceDN/>
              <w:adjustRightInd/>
              <w:spacing w:after="0"/>
              <w:textAlignment w:val="auto"/>
              <w:rPr>
                <w:rFonts w:ascii="Times" w:eastAsia="Batang" w:hAnsi="Times"/>
                <w:szCs w:val="24"/>
                <w:lang w:eastAsia="ja-JP"/>
              </w:rPr>
            </w:pPr>
            <w:r w:rsidRPr="009C2887">
              <w:rPr>
                <w:rFonts w:ascii="Times" w:eastAsia="Batang" w:hAnsi="Times"/>
                <w:szCs w:val="24"/>
                <w:lang w:eastAsia="ja-JP"/>
              </w:rPr>
              <w:t xml:space="preserve">In Rel-17, for a PUCCH with associated scheduling DCI, support the following for dynamic PUCCH repetition factor indication. </w:t>
            </w:r>
          </w:p>
          <w:p w14:paraId="4E7DAECC" w14:textId="77777777" w:rsidR="00332A3F" w:rsidRPr="009C2887" w:rsidRDefault="00332A3F" w:rsidP="00433E99">
            <w:pPr>
              <w:numPr>
                <w:ilvl w:val="0"/>
                <w:numId w:val="55"/>
              </w:numPr>
              <w:overflowPunct/>
              <w:autoSpaceDE/>
              <w:autoSpaceDN/>
              <w:adjustRightInd/>
              <w:spacing w:after="0" w:line="280" w:lineRule="atLeast"/>
              <w:textAlignment w:val="auto"/>
              <w:rPr>
                <w:rFonts w:eastAsia="Batang"/>
              </w:rPr>
            </w:pPr>
            <w:r w:rsidRPr="009C2887">
              <w:rPr>
                <w:rFonts w:eastAsia="Batang"/>
              </w:rPr>
              <w:t xml:space="preserve">Enhance RRC </w:t>
            </w:r>
            <w:proofErr w:type="spellStart"/>
            <w:r w:rsidRPr="009C2887">
              <w:rPr>
                <w:rFonts w:eastAsia="Batang"/>
              </w:rPr>
              <w:t>signaling</w:t>
            </w:r>
            <w:proofErr w:type="spellEnd"/>
            <w:r w:rsidRPr="009C2887">
              <w:rPr>
                <w:rFonts w:eastAsia="Batang"/>
              </w:rPr>
              <w:t xml:space="preserve">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46A79968" w14:textId="77777777" w:rsidR="00332A3F" w:rsidRPr="009C2887" w:rsidRDefault="00332A3F" w:rsidP="00433E99">
            <w:pPr>
              <w:numPr>
                <w:ilvl w:val="1"/>
                <w:numId w:val="55"/>
              </w:numPr>
              <w:overflowPunct/>
              <w:autoSpaceDE/>
              <w:autoSpaceDN/>
              <w:adjustRightInd/>
              <w:spacing w:after="0" w:line="280" w:lineRule="atLeast"/>
              <w:textAlignment w:val="auto"/>
              <w:rPr>
                <w:rFonts w:eastAsia="Batang"/>
              </w:rPr>
            </w:pPr>
            <w:r w:rsidRPr="009C2887">
              <w:rPr>
                <w:rFonts w:eastAsia="Batang"/>
              </w:rPr>
              <w:t xml:space="preserve">FFS: RRC </w:t>
            </w:r>
            <w:proofErr w:type="spellStart"/>
            <w:r w:rsidRPr="009C2887">
              <w:rPr>
                <w:rFonts w:eastAsia="Batang"/>
              </w:rPr>
              <w:t>signaling</w:t>
            </w:r>
            <w:proofErr w:type="spellEnd"/>
            <w:r w:rsidRPr="009C2887">
              <w:rPr>
                <w:rFonts w:eastAsia="Batang"/>
              </w:rPr>
              <w:t xml:space="preserve"> enhancement details</w:t>
            </w:r>
          </w:p>
          <w:p w14:paraId="26B507B2" w14:textId="77777777" w:rsidR="00332A3F" w:rsidRPr="009C2887" w:rsidRDefault="00332A3F" w:rsidP="00433E99">
            <w:pPr>
              <w:overflowPunct/>
              <w:autoSpaceDE/>
              <w:autoSpaceDN/>
              <w:adjustRightInd/>
              <w:spacing w:after="0" w:line="280" w:lineRule="atLeast"/>
              <w:textAlignment w:val="auto"/>
              <w:rPr>
                <w:rFonts w:eastAsia="Batang"/>
              </w:rPr>
            </w:pPr>
          </w:p>
          <w:p w14:paraId="09F4F423" w14:textId="77777777" w:rsidR="00332A3F" w:rsidRPr="009C2887" w:rsidRDefault="00332A3F" w:rsidP="00433E99">
            <w:pPr>
              <w:overflowPunct/>
              <w:autoSpaceDE/>
              <w:autoSpaceDN/>
              <w:adjustRightInd/>
              <w:spacing w:after="0"/>
              <w:textAlignment w:val="auto"/>
              <w:rPr>
                <w:rFonts w:ascii="Times" w:eastAsia="Batang" w:hAnsi="Times"/>
                <w:iCs/>
                <w:szCs w:val="24"/>
                <w:highlight w:val="green"/>
              </w:rPr>
            </w:pPr>
            <w:r w:rsidRPr="009C2887">
              <w:rPr>
                <w:rFonts w:ascii="Times" w:eastAsia="Batang" w:hAnsi="Times"/>
                <w:iCs/>
                <w:szCs w:val="24"/>
                <w:highlight w:val="green"/>
              </w:rPr>
              <w:t>Agreement</w:t>
            </w:r>
            <w:r w:rsidRPr="009C2887">
              <w:rPr>
                <w:rFonts w:ascii="Times" w:eastAsia="Batang" w:hAnsi="Times" w:hint="eastAsia"/>
                <w:iCs/>
                <w:szCs w:val="24"/>
                <w:highlight w:val="green"/>
              </w:rPr>
              <w:t xml:space="preserve"> </w:t>
            </w:r>
          </w:p>
          <w:p w14:paraId="1546863C" w14:textId="77777777" w:rsidR="00332A3F" w:rsidRPr="009C2887" w:rsidRDefault="00332A3F" w:rsidP="00433E99">
            <w:pPr>
              <w:numPr>
                <w:ilvl w:val="0"/>
                <w:numId w:val="55"/>
              </w:numPr>
              <w:overflowPunct/>
              <w:autoSpaceDE/>
              <w:autoSpaceDN/>
              <w:adjustRightInd/>
              <w:spacing w:after="0" w:line="280" w:lineRule="atLeast"/>
              <w:textAlignment w:val="auto"/>
              <w:rPr>
                <w:rFonts w:eastAsia="Batang"/>
              </w:rPr>
            </w:pPr>
            <w:r w:rsidRPr="009C2887">
              <w:rPr>
                <w:rFonts w:eastAsia="Batang" w:hint="eastAsia"/>
              </w:rPr>
              <w:t xml:space="preserve">for a PUCCH resource, if both a new repetition parameter corresponding to Rel-17 dynamic PUCCH repetition factor indication and the Rel-15/16 </w:t>
            </w:r>
            <w:proofErr w:type="spellStart"/>
            <w:r w:rsidRPr="009C2887">
              <w:rPr>
                <w:rFonts w:eastAsia="Batang" w:hint="eastAsia"/>
              </w:rPr>
              <w:t>nrofSlots</w:t>
            </w:r>
            <w:proofErr w:type="spellEnd"/>
            <w:r w:rsidRPr="009C2887">
              <w:rPr>
                <w:rFonts w:eastAsia="Batang" w:hint="eastAsia"/>
              </w:rPr>
              <w:t xml:space="preserve"> are configured, the new repetition parameter overrides </w:t>
            </w:r>
            <w:proofErr w:type="spellStart"/>
            <w:r w:rsidRPr="009C2887">
              <w:rPr>
                <w:rFonts w:eastAsia="Batang" w:hint="eastAsia"/>
              </w:rPr>
              <w:t>nrofSlots</w:t>
            </w:r>
            <w:proofErr w:type="spellEnd"/>
            <w:r w:rsidRPr="009C2887">
              <w:rPr>
                <w:rFonts w:eastAsia="Batang" w:hint="eastAsia"/>
              </w:rPr>
              <w:t>. </w:t>
            </w:r>
          </w:p>
          <w:p w14:paraId="4D986305" w14:textId="77777777" w:rsidR="00332A3F" w:rsidRPr="009C2887" w:rsidRDefault="00332A3F" w:rsidP="00433E99">
            <w:pPr>
              <w:overflowPunct/>
              <w:autoSpaceDE/>
              <w:autoSpaceDN/>
              <w:adjustRightInd/>
              <w:spacing w:after="0"/>
              <w:textAlignment w:val="auto"/>
              <w:rPr>
                <w:rFonts w:ascii="Times" w:eastAsia="Batang" w:hAnsi="Times"/>
                <w:iCs/>
                <w:szCs w:val="24"/>
              </w:rPr>
            </w:pPr>
          </w:p>
          <w:p w14:paraId="6A1B8BA2" w14:textId="77777777" w:rsidR="00332A3F" w:rsidRPr="009C2887" w:rsidRDefault="00332A3F" w:rsidP="00433E99">
            <w:pPr>
              <w:shd w:val="clear" w:color="auto" w:fill="FFFFFF"/>
              <w:overflowPunct/>
              <w:autoSpaceDE/>
              <w:autoSpaceDN/>
              <w:adjustRightInd/>
              <w:spacing w:after="0"/>
              <w:textAlignment w:val="auto"/>
              <w:rPr>
                <w:rFonts w:ascii="Times" w:eastAsia="Batang" w:hAnsi="Times"/>
                <w:iCs/>
                <w:szCs w:val="24"/>
                <w:highlight w:val="green"/>
              </w:rPr>
            </w:pPr>
            <w:r w:rsidRPr="009C2887">
              <w:rPr>
                <w:rFonts w:ascii="Times" w:eastAsia="Batang" w:hAnsi="Times"/>
                <w:iCs/>
                <w:szCs w:val="24"/>
                <w:highlight w:val="green"/>
              </w:rPr>
              <w:t>Agreement</w:t>
            </w:r>
          </w:p>
          <w:p w14:paraId="3DC8B75E" w14:textId="77777777" w:rsidR="00332A3F" w:rsidRPr="009C2887" w:rsidRDefault="00332A3F" w:rsidP="00433E99">
            <w:pPr>
              <w:numPr>
                <w:ilvl w:val="0"/>
                <w:numId w:val="55"/>
              </w:numPr>
              <w:overflowPunct/>
              <w:autoSpaceDE/>
              <w:autoSpaceDN/>
              <w:adjustRightInd/>
              <w:spacing w:after="0" w:line="280" w:lineRule="atLeast"/>
              <w:textAlignment w:val="auto"/>
              <w:rPr>
                <w:rFonts w:eastAsia="Batang"/>
              </w:rPr>
            </w:pPr>
            <w:r w:rsidRPr="009C2887">
              <w:rPr>
                <w:rFonts w:eastAsia="Batang" w:hint="eastAsia"/>
              </w:rPr>
              <w:t xml:space="preserve">In Rel-17, reuse the Rel-16 PUCCH repetition factors 2, 4, 8. </w:t>
            </w:r>
          </w:p>
          <w:p w14:paraId="582F721B" w14:textId="77777777" w:rsidR="00332A3F" w:rsidRPr="009C2887" w:rsidRDefault="00332A3F" w:rsidP="00433E99">
            <w:pPr>
              <w:numPr>
                <w:ilvl w:val="0"/>
                <w:numId w:val="55"/>
              </w:numPr>
              <w:overflowPunct/>
              <w:autoSpaceDE/>
              <w:autoSpaceDN/>
              <w:adjustRightInd/>
              <w:spacing w:after="0" w:line="280" w:lineRule="atLeast"/>
              <w:textAlignment w:val="auto"/>
              <w:rPr>
                <w:rFonts w:eastAsia="Batang"/>
              </w:rPr>
            </w:pPr>
            <w:r w:rsidRPr="009C2887">
              <w:rPr>
                <w:rFonts w:eastAsia="Batang" w:hint="eastAsia"/>
              </w:rPr>
              <w:t>Do not support PUCCH repetition factor larger than 8 In Rel-17.</w:t>
            </w:r>
          </w:p>
          <w:p w14:paraId="2F39514C" w14:textId="77777777" w:rsidR="00332A3F" w:rsidRPr="009C2887" w:rsidRDefault="00332A3F" w:rsidP="00433E99">
            <w:pPr>
              <w:shd w:val="clear" w:color="auto" w:fill="FFFFFF"/>
              <w:overflowPunct/>
              <w:autoSpaceDE/>
              <w:autoSpaceDN/>
              <w:adjustRightInd/>
              <w:spacing w:after="0"/>
              <w:jc w:val="both"/>
              <w:textAlignment w:val="auto"/>
              <w:rPr>
                <w:rFonts w:ascii="Times" w:eastAsia="Batang" w:hAnsi="Times"/>
                <w:iCs/>
                <w:szCs w:val="24"/>
              </w:rPr>
            </w:pPr>
            <w:r w:rsidRPr="009C2887">
              <w:rPr>
                <w:rFonts w:ascii="Times" w:eastAsia="Batang" w:hAnsi="Times"/>
                <w:iCs/>
                <w:szCs w:val="24"/>
              </w:rPr>
              <w:t> </w:t>
            </w:r>
          </w:p>
          <w:p w14:paraId="44F0A222" w14:textId="77777777" w:rsidR="00332A3F" w:rsidRPr="009C2887" w:rsidRDefault="00332A3F" w:rsidP="00433E99">
            <w:pPr>
              <w:shd w:val="clear" w:color="auto" w:fill="FFFFFF"/>
              <w:overflowPunct/>
              <w:autoSpaceDE/>
              <w:autoSpaceDN/>
              <w:adjustRightInd/>
              <w:spacing w:after="0"/>
              <w:textAlignment w:val="auto"/>
              <w:rPr>
                <w:rFonts w:ascii="Times" w:eastAsia="Batang" w:hAnsi="Times"/>
                <w:iCs/>
                <w:szCs w:val="24"/>
                <w:highlight w:val="green"/>
              </w:rPr>
            </w:pPr>
            <w:r w:rsidRPr="009C2887">
              <w:rPr>
                <w:rFonts w:ascii="Times" w:eastAsia="Batang" w:hAnsi="Times"/>
                <w:iCs/>
                <w:szCs w:val="24"/>
                <w:highlight w:val="green"/>
              </w:rPr>
              <w:t>Agreement</w:t>
            </w:r>
          </w:p>
          <w:p w14:paraId="5E88BDCE" w14:textId="2E4AD948" w:rsidR="00332A3F" w:rsidRPr="009C2887" w:rsidRDefault="00332A3F" w:rsidP="00433E99">
            <w:pPr>
              <w:numPr>
                <w:ilvl w:val="0"/>
                <w:numId w:val="55"/>
              </w:numPr>
              <w:overflowPunct/>
              <w:autoSpaceDE/>
              <w:autoSpaceDN/>
              <w:adjustRightInd/>
              <w:spacing w:after="0" w:line="280" w:lineRule="atLeast"/>
              <w:textAlignment w:val="auto"/>
              <w:rPr>
                <w:rFonts w:eastAsia="Batang"/>
              </w:rPr>
            </w:pPr>
            <w:r w:rsidRPr="009C2887">
              <w:rPr>
                <w:rFonts w:eastAsia="Batang" w:hint="eastAsia"/>
              </w:rPr>
              <w:t>For DMRS bundling for PUCCH repetitions, RAN1 at least prioritize use cases 3 and 4a</w:t>
            </w:r>
            <w:r w:rsidRPr="009C2887">
              <w:rPr>
                <w:rFonts w:eastAsia="Batang"/>
              </w:rPr>
              <w:t xml:space="preserve"> in </w:t>
            </w:r>
            <w:r w:rsidR="0001767C">
              <w:t>R1-2104119</w:t>
            </w:r>
            <w:r w:rsidR="0001767C" w:rsidRPr="00315AED">
              <w:rPr>
                <w:rFonts w:hint="eastAsia"/>
              </w:rPr>
              <w:t>.</w:t>
            </w:r>
          </w:p>
          <w:p w14:paraId="3EE65E4E" w14:textId="77777777" w:rsidR="00332A3F" w:rsidRPr="009C2887" w:rsidRDefault="00332A3F" w:rsidP="00433E99">
            <w:pPr>
              <w:overflowPunct/>
              <w:autoSpaceDE/>
              <w:autoSpaceDN/>
              <w:adjustRightInd/>
              <w:spacing w:after="0"/>
              <w:textAlignment w:val="auto"/>
              <w:rPr>
                <w:rFonts w:ascii="Times" w:eastAsia="Batang" w:hAnsi="Times"/>
                <w:iCs/>
                <w:szCs w:val="24"/>
              </w:rPr>
            </w:pPr>
          </w:p>
          <w:p w14:paraId="26BCA157" w14:textId="77777777" w:rsidR="00332A3F" w:rsidRPr="009C2887" w:rsidRDefault="00332A3F" w:rsidP="00433E99">
            <w:pPr>
              <w:overflowPunct/>
              <w:autoSpaceDE/>
              <w:autoSpaceDN/>
              <w:adjustRightInd/>
              <w:spacing w:after="0"/>
              <w:textAlignment w:val="auto"/>
              <w:rPr>
                <w:rFonts w:ascii="Times" w:eastAsia="Batang" w:hAnsi="Times"/>
                <w:iCs/>
                <w:szCs w:val="24"/>
              </w:rPr>
            </w:pPr>
          </w:p>
          <w:p w14:paraId="2D8659A1" w14:textId="77777777" w:rsidR="00332A3F" w:rsidRPr="009C2887" w:rsidRDefault="00332A3F" w:rsidP="00433E99">
            <w:pPr>
              <w:shd w:val="clear" w:color="auto" w:fill="FFFFFF"/>
              <w:overflowPunct/>
              <w:autoSpaceDE/>
              <w:autoSpaceDN/>
              <w:adjustRightInd/>
              <w:spacing w:after="0"/>
              <w:textAlignment w:val="auto"/>
              <w:rPr>
                <w:rFonts w:eastAsia="Batang"/>
                <w:highlight w:val="green"/>
              </w:rPr>
            </w:pPr>
            <w:r w:rsidRPr="009C2887">
              <w:rPr>
                <w:rFonts w:eastAsia="Batang"/>
                <w:highlight w:val="green"/>
              </w:rPr>
              <w:t>Agreement</w:t>
            </w:r>
          </w:p>
          <w:p w14:paraId="162932DC" w14:textId="77777777" w:rsidR="00332A3F" w:rsidRPr="00DC15F0" w:rsidRDefault="00332A3F" w:rsidP="00433E99">
            <w:pPr>
              <w:shd w:val="clear" w:color="auto" w:fill="FFFFFF"/>
              <w:overflowPunct/>
              <w:autoSpaceDE/>
              <w:autoSpaceDN/>
              <w:adjustRightInd/>
              <w:spacing w:after="0"/>
              <w:textAlignment w:val="auto"/>
              <w:rPr>
                <w:rFonts w:eastAsia="Batang"/>
              </w:rPr>
            </w:pPr>
            <w:r w:rsidRPr="009C2887">
              <w:rPr>
                <w:rFonts w:eastAsia="Batang" w:hint="eastAsia"/>
              </w:rPr>
              <w:t>Dynamic PUCCH repetition factor indication for SR or P/SP-CSI on PUCCH is not supported in Rel-17.</w:t>
            </w:r>
          </w:p>
        </w:tc>
      </w:tr>
    </w:tbl>
    <w:p w14:paraId="190D0BE2" w14:textId="77777777" w:rsidR="00367E48" w:rsidRDefault="00367E48" w:rsidP="000E63F2">
      <w:pPr>
        <w:pStyle w:val="References"/>
        <w:numPr>
          <w:ilvl w:val="0"/>
          <w:numId w:val="0"/>
        </w:numPr>
        <w:autoSpaceDE/>
        <w:autoSpaceDN/>
        <w:snapToGrid/>
        <w:spacing w:after="80" w:line="256" w:lineRule="auto"/>
        <w:ind w:left="360" w:hanging="360"/>
        <w:rPr>
          <w:szCs w:val="20"/>
        </w:rPr>
      </w:pPr>
    </w:p>
    <w:p w14:paraId="5AA59249" w14:textId="16E839BB" w:rsidR="00F40494" w:rsidRDefault="00F40494" w:rsidP="00F40494">
      <w:pPr>
        <w:pStyle w:val="Heading1"/>
        <w:numPr>
          <w:ilvl w:val="0"/>
          <w:numId w:val="0"/>
        </w:numPr>
        <w:ind w:left="432" w:hanging="432"/>
        <w:rPr>
          <w:lang w:val="en-US"/>
        </w:rPr>
      </w:pPr>
      <w:r>
        <w:rPr>
          <w:lang w:val="en-US"/>
        </w:rPr>
        <w:t>Appendix C: Agreements in RAN1 106bis-e e-meeting</w:t>
      </w:r>
    </w:p>
    <w:p w14:paraId="7CACE226" w14:textId="77777777" w:rsidR="00F13477" w:rsidRPr="007524CC" w:rsidRDefault="00F13477" w:rsidP="00F13477">
      <w:pPr>
        <w:rPr>
          <w:b/>
          <w:bCs/>
          <w:highlight w:val="green"/>
        </w:rPr>
      </w:pPr>
      <w:r w:rsidRPr="007524CC">
        <w:rPr>
          <w:b/>
          <w:bCs/>
          <w:highlight w:val="green"/>
        </w:rPr>
        <w:t xml:space="preserve">Agreement </w:t>
      </w:r>
    </w:p>
    <w:p w14:paraId="0F6CCBA3" w14:textId="77777777" w:rsidR="00F13477" w:rsidRDefault="00F13477" w:rsidP="00F13477">
      <w:pPr>
        <w:rPr>
          <w:b/>
          <w:bCs/>
        </w:rPr>
      </w:pPr>
      <w:r>
        <w:rPr>
          <w:b/>
          <w:bCs/>
        </w:rPr>
        <w:t xml:space="preserve">Dynamic signaling to enable/disable DMRS bundling for PUCCH or PUSCH repetitions is not supported in Rel-17.  </w:t>
      </w:r>
    </w:p>
    <w:p w14:paraId="5BCCDB32" w14:textId="77777777" w:rsidR="00F13477" w:rsidRDefault="00F13477" w:rsidP="00F13477">
      <w:pPr>
        <w:rPr>
          <w:iCs/>
        </w:rPr>
      </w:pPr>
    </w:p>
    <w:p w14:paraId="5D01E2BB" w14:textId="77777777" w:rsidR="00F13477" w:rsidRPr="00220A3E" w:rsidRDefault="00F13477" w:rsidP="00F13477">
      <w:pPr>
        <w:rPr>
          <w:b/>
          <w:bCs/>
          <w:highlight w:val="green"/>
        </w:rPr>
      </w:pPr>
      <w:r w:rsidRPr="006407CF">
        <w:rPr>
          <w:rFonts w:eastAsia="DengXian" w:hint="eastAsia"/>
          <w:b/>
          <w:bCs/>
          <w:highlight w:val="green"/>
          <w:lang w:eastAsia="zh-CN"/>
        </w:rPr>
        <w:t>Agreement</w:t>
      </w:r>
      <w:r w:rsidRPr="00220A3E">
        <w:rPr>
          <w:b/>
          <w:bCs/>
          <w:highlight w:val="green"/>
        </w:rPr>
        <w:t xml:space="preserve">: </w:t>
      </w:r>
    </w:p>
    <w:p w14:paraId="2C640A69" w14:textId="77777777" w:rsidR="00F13477" w:rsidRDefault="00F13477" w:rsidP="00F13477">
      <w:pPr>
        <w:rPr>
          <w:b/>
          <w:bCs/>
        </w:rPr>
      </w:pPr>
      <w:r>
        <w:rPr>
          <w:b/>
          <w:bCs/>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14F015E5" w14:textId="77777777" w:rsidR="00F13477" w:rsidRDefault="00F13477" w:rsidP="00F13477">
      <w:pPr>
        <w:pStyle w:val="ListParagraph"/>
        <w:numPr>
          <w:ilvl w:val="0"/>
          <w:numId w:val="69"/>
        </w:numPr>
        <w:overflowPunct/>
        <w:autoSpaceDE/>
        <w:autoSpaceDN/>
        <w:adjustRightInd/>
        <w:spacing w:after="0" w:line="280" w:lineRule="atLeast"/>
        <w:contextualSpacing w:val="0"/>
        <w:jc w:val="both"/>
        <w:textAlignment w:val="auto"/>
        <w:rPr>
          <w:b/>
          <w:bCs/>
        </w:rPr>
      </w:pPr>
      <w:r>
        <w:rPr>
          <w:b/>
          <w:bCs/>
        </w:rPr>
        <w:t>Option 1: “hopping intervals determination” -&gt; “configured TDW determination” -&gt; “actual TDW determination”</w:t>
      </w:r>
    </w:p>
    <w:p w14:paraId="5984AB10" w14:textId="77777777" w:rsidR="00F13477" w:rsidRDefault="00F13477" w:rsidP="00F13477">
      <w:pPr>
        <w:pStyle w:val="ListParagraph"/>
        <w:numPr>
          <w:ilvl w:val="0"/>
          <w:numId w:val="69"/>
        </w:numPr>
        <w:overflowPunct/>
        <w:autoSpaceDE/>
        <w:autoSpaceDN/>
        <w:adjustRightInd/>
        <w:spacing w:after="0" w:line="280" w:lineRule="atLeast"/>
        <w:contextualSpacing w:val="0"/>
        <w:jc w:val="both"/>
        <w:textAlignment w:val="auto"/>
        <w:rPr>
          <w:b/>
          <w:bCs/>
        </w:rPr>
      </w:pPr>
      <w:r>
        <w:rPr>
          <w:b/>
          <w:bCs/>
        </w:rPr>
        <w:t>Option 2: “configured TDW determination” -&gt; “hopping intervals determination” -&gt; “actual TDW determination”</w:t>
      </w:r>
    </w:p>
    <w:p w14:paraId="51A3597B" w14:textId="77777777" w:rsidR="00F13477" w:rsidRDefault="00F13477" w:rsidP="00F13477">
      <w:pPr>
        <w:pStyle w:val="ListParagraph"/>
        <w:numPr>
          <w:ilvl w:val="0"/>
          <w:numId w:val="69"/>
        </w:numPr>
        <w:overflowPunct/>
        <w:autoSpaceDE/>
        <w:autoSpaceDN/>
        <w:adjustRightInd/>
        <w:spacing w:after="0" w:line="280" w:lineRule="atLeast"/>
        <w:contextualSpacing w:val="0"/>
        <w:jc w:val="both"/>
        <w:textAlignment w:val="auto"/>
        <w:rPr>
          <w:b/>
          <w:bCs/>
        </w:rPr>
      </w:pPr>
      <w:r>
        <w:rPr>
          <w:b/>
          <w:bCs/>
        </w:rPr>
        <w:t>Option 4: “configured TDW determination” -&gt; “actual TDW determination” and “hopping intervals determination”</w:t>
      </w:r>
    </w:p>
    <w:p w14:paraId="02ACA744" w14:textId="77777777" w:rsidR="00F13477" w:rsidRDefault="00F13477" w:rsidP="00F13477">
      <w:pPr>
        <w:ind w:left="360"/>
        <w:rPr>
          <w:b/>
          <w:bCs/>
        </w:rPr>
      </w:pPr>
      <w:r>
        <w:rPr>
          <w:b/>
          <w:bCs/>
        </w:rPr>
        <w:t>Note: option 1</w:t>
      </w:r>
      <w:r w:rsidRPr="000E2F7A">
        <w:rPr>
          <w:b/>
          <w:bCs/>
          <w:strike/>
          <w:color w:val="FF0000"/>
        </w:rPr>
        <w:t>,</w:t>
      </w:r>
      <w:r>
        <w:rPr>
          <w:b/>
          <w:bCs/>
        </w:rPr>
        <w:t xml:space="preserve"> </w:t>
      </w:r>
      <w:r w:rsidRPr="000E2F7A">
        <w:rPr>
          <w:b/>
          <w:bCs/>
          <w:color w:val="FF0000"/>
        </w:rPr>
        <w:t xml:space="preserve">and </w:t>
      </w:r>
      <w:r>
        <w:rPr>
          <w:b/>
          <w:bCs/>
        </w:rPr>
        <w:t>2</w:t>
      </w:r>
      <w:r w:rsidRPr="000E2F7A">
        <w:rPr>
          <w:b/>
          <w:bCs/>
          <w:strike/>
          <w:color w:val="FF0000"/>
        </w:rPr>
        <w:t>, and 3</w:t>
      </w:r>
      <w:r w:rsidRPr="000E2F7A">
        <w:rPr>
          <w:b/>
          <w:bCs/>
          <w:color w:val="FF0000"/>
        </w:rPr>
        <w:t xml:space="preserve"> </w:t>
      </w:r>
      <w:r>
        <w:rPr>
          <w:b/>
          <w:bCs/>
        </w:rPr>
        <w:t xml:space="preserve">assume a hopping interval can be different than an actual TDW. </w:t>
      </w:r>
      <w:r w:rsidRPr="00220A3E">
        <w:rPr>
          <w:b/>
          <w:bCs/>
        </w:rPr>
        <w:t>Option 4 assumes a hopping interval is the same as an actual TDW.</w:t>
      </w:r>
      <w:r>
        <w:rPr>
          <w:b/>
          <w:bCs/>
        </w:rPr>
        <w:t xml:space="preserve"> </w:t>
      </w:r>
    </w:p>
    <w:p w14:paraId="34999E8A" w14:textId="77777777" w:rsidR="00F13477" w:rsidRDefault="00F13477" w:rsidP="00F13477">
      <w:pPr>
        <w:rPr>
          <w:b/>
          <w:bCs/>
          <w:color w:val="FF00FF"/>
        </w:rPr>
      </w:pPr>
    </w:p>
    <w:p w14:paraId="0463EEE1" w14:textId="77777777" w:rsidR="00F13477" w:rsidRPr="006F3957" w:rsidRDefault="00F13477" w:rsidP="00F13477">
      <w:pPr>
        <w:rPr>
          <w:b/>
          <w:bCs/>
          <w:highlight w:val="green"/>
        </w:rPr>
      </w:pPr>
      <w:r w:rsidRPr="006F3957">
        <w:rPr>
          <w:b/>
          <w:bCs/>
          <w:highlight w:val="green"/>
        </w:rPr>
        <w:t xml:space="preserve">Agreement </w:t>
      </w:r>
    </w:p>
    <w:p w14:paraId="08CFD095" w14:textId="77777777" w:rsidR="00F13477" w:rsidRDefault="00F13477" w:rsidP="00F13477">
      <w:pPr>
        <w:rPr>
          <w:b/>
          <w:bCs/>
        </w:rPr>
      </w:pPr>
      <w:r>
        <w:rPr>
          <w:b/>
          <w:bCs/>
        </w:rPr>
        <w:lastRenderedPageBreak/>
        <w:t xml:space="preserve">Support dynamic PUCCH repetition factor indication for all PUCCH formats including format 0, 1, 2, 3, 4 </w:t>
      </w:r>
      <w:r w:rsidRPr="00764ED3">
        <w:rPr>
          <w:b/>
          <w:bCs/>
        </w:rPr>
        <w:t>with a unified mechanism as agreed in RAN1#106e under agenda 8.8.2</w:t>
      </w:r>
      <w:r>
        <w:rPr>
          <w:b/>
          <w:bCs/>
        </w:rPr>
        <w:t>.</w:t>
      </w:r>
      <w:r w:rsidRPr="00764ED3">
        <w:rPr>
          <w:b/>
          <w:bCs/>
        </w:rPr>
        <w:t xml:space="preserve"> </w:t>
      </w:r>
    </w:p>
    <w:p w14:paraId="2781A95D" w14:textId="77777777" w:rsidR="00F13477" w:rsidRPr="006407CF" w:rsidRDefault="00F13477" w:rsidP="00F13477">
      <w:pPr>
        <w:rPr>
          <w:rFonts w:eastAsia="DengXian"/>
          <w:color w:val="000000"/>
          <w:lang w:eastAsia="zh-CN"/>
        </w:rPr>
      </w:pPr>
      <w:r w:rsidRPr="006407CF">
        <w:rPr>
          <w:rFonts w:eastAsia="DengXian" w:hint="eastAsia"/>
          <w:b/>
          <w:bCs/>
          <w:lang w:eastAsia="zh-CN"/>
        </w:rPr>
        <w:t>N</w:t>
      </w:r>
      <w:r w:rsidRPr="006407CF">
        <w:rPr>
          <w:rFonts w:eastAsia="DengXian"/>
          <w:b/>
          <w:bCs/>
          <w:lang w:eastAsia="zh-CN"/>
        </w:rPr>
        <w:t>ote: it does not impact the discussion of slot level or sub-slot level repetition</w:t>
      </w:r>
    </w:p>
    <w:p w14:paraId="5D620759" w14:textId="77777777" w:rsidR="00F40494" w:rsidRPr="00EA37B4" w:rsidRDefault="00F40494" w:rsidP="000E63F2">
      <w:pPr>
        <w:pStyle w:val="References"/>
        <w:numPr>
          <w:ilvl w:val="0"/>
          <w:numId w:val="0"/>
        </w:numPr>
        <w:autoSpaceDE/>
        <w:autoSpaceDN/>
        <w:snapToGrid/>
        <w:spacing w:after="80" w:line="256" w:lineRule="auto"/>
        <w:ind w:left="360" w:hanging="360"/>
        <w:rPr>
          <w:szCs w:val="20"/>
        </w:rPr>
      </w:pPr>
    </w:p>
    <w:sectPr w:rsidR="00F40494" w:rsidRPr="00EA37B4"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EBDE1" w14:textId="77777777" w:rsidR="00C70945" w:rsidRDefault="00C70945" w:rsidP="00746535">
      <w:pPr>
        <w:spacing w:after="0"/>
      </w:pPr>
      <w:r>
        <w:separator/>
      </w:r>
    </w:p>
  </w:endnote>
  <w:endnote w:type="continuationSeparator" w:id="0">
    <w:p w14:paraId="5EABF580" w14:textId="77777777" w:rsidR="00C70945" w:rsidRDefault="00C70945" w:rsidP="00746535">
      <w:pPr>
        <w:spacing w:after="0"/>
      </w:pPr>
      <w:r>
        <w:continuationSeparator/>
      </w:r>
    </w:p>
  </w:endnote>
  <w:endnote w:type="continuationNotice" w:id="1">
    <w:p w14:paraId="4F54AC4A" w14:textId="77777777" w:rsidR="00C70945" w:rsidRDefault="00C709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58B82" w14:textId="77777777" w:rsidR="00C70945" w:rsidRDefault="00C70945" w:rsidP="00746535">
      <w:pPr>
        <w:spacing w:after="0"/>
      </w:pPr>
      <w:r>
        <w:separator/>
      </w:r>
    </w:p>
  </w:footnote>
  <w:footnote w:type="continuationSeparator" w:id="0">
    <w:p w14:paraId="36C1EEE5" w14:textId="77777777" w:rsidR="00C70945" w:rsidRDefault="00C70945" w:rsidP="00746535">
      <w:pPr>
        <w:spacing w:after="0"/>
      </w:pPr>
      <w:r>
        <w:continuationSeparator/>
      </w:r>
    </w:p>
  </w:footnote>
  <w:footnote w:type="continuationNotice" w:id="1">
    <w:p w14:paraId="369E17D3" w14:textId="77777777" w:rsidR="00C70945" w:rsidRDefault="00C709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372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A033E6"/>
    <w:multiLevelType w:val="hybridMultilevel"/>
    <w:tmpl w:val="8230039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0"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390174"/>
    <w:multiLevelType w:val="hybridMultilevel"/>
    <w:tmpl w:val="CBE00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B36807"/>
    <w:multiLevelType w:val="hybridMultilevel"/>
    <w:tmpl w:val="3A122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3FA725F"/>
    <w:multiLevelType w:val="hybridMultilevel"/>
    <w:tmpl w:val="D2B4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6007E2"/>
    <w:multiLevelType w:val="hybridMultilevel"/>
    <w:tmpl w:val="5896C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5A414E0"/>
    <w:multiLevelType w:val="hybridMultilevel"/>
    <w:tmpl w:val="FC80413E"/>
    <w:lvl w:ilvl="0" w:tplc="337A4B88">
      <w:start w:val="2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4C3312"/>
    <w:multiLevelType w:val="hybridMultilevel"/>
    <w:tmpl w:val="8C201078"/>
    <w:lvl w:ilvl="0" w:tplc="FBC0B0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604D33"/>
    <w:multiLevelType w:val="hybridMultilevel"/>
    <w:tmpl w:val="B3DEBDC0"/>
    <w:lvl w:ilvl="0" w:tplc="1716054C">
      <w:start w:val="1"/>
      <w:numFmt w:val="bullet"/>
      <w:lvlText w:val="•"/>
      <w:lvlJc w:val="left"/>
      <w:pPr>
        <w:tabs>
          <w:tab w:val="num" w:pos="720"/>
        </w:tabs>
        <w:ind w:left="720" w:hanging="360"/>
      </w:pPr>
      <w:rPr>
        <w:rFonts w:ascii="Arial" w:hAnsi="Arial" w:hint="default"/>
      </w:rPr>
    </w:lvl>
    <w:lvl w:ilvl="1" w:tplc="8D9C07D8" w:tentative="1">
      <w:start w:val="1"/>
      <w:numFmt w:val="bullet"/>
      <w:lvlText w:val="•"/>
      <w:lvlJc w:val="left"/>
      <w:pPr>
        <w:tabs>
          <w:tab w:val="num" w:pos="1440"/>
        </w:tabs>
        <w:ind w:left="1440" w:hanging="360"/>
      </w:pPr>
      <w:rPr>
        <w:rFonts w:ascii="Arial" w:hAnsi="Arial" w:hint="default"/>
      </w:rPr>
    </w:lvl>
    <w:lvl w:ilvl="2" w:tplc="38EC0202" w:tentative="1">
      <w:start w:val="1"/>
      <w:numFmt w:val="bullet"/>
      <w:lvlText w:val="•"/>
      <w:lvlJc w:val="left"/>
      <w:pPr>
        <w:tabs>
          <w:tab w:val="num" w:pos="2160"/>
        </w:tabs>
        <w:ind w:left="2160" w:hanging="360"/>
      </w:pPr>
      <w:rPr>
        <w:rFonts w:ascii="Arial" w:hAnsi="Arial" w:hint="default"/>
      </w:rPr>
    </w:lvl>
    <w:lvl w:ilvl="3" w:tplc="6D7C9584" w:tentative="1">
      <w:start w:val="1"/>
      <w:numFmt w:val="bullet"/>
      <w:lvlText w:val="•"/>
      <w:lvlJc w:val="left"/>
      <w:pPr>
        <w:tabs>
          <w:tab w:val="num" w:pos="2880"/>
        </w:tabs>
        <w:ind w:left="2880" w:hanging="360"/>
      </w:pPr>
      <w:rPr>
        <w:rFonts w:ascii="Arial" w:hAnsi="Arial" w:hint="default"/>
      </w:rPr>
    </w:lvl>
    <w:lvl w:ilvl="4" w:tplc="759ECF96" w:tentative="1">
      <w:start w:val="1"/>
      <w:numFmt w:val="bullet"/>
      <w:lvlText w:val="•"/>
      <w:lvlJc w:val="left"/>
      <w:pPr>
        <w:tabs>
          <w:tab w:val="num" w:pos="3600"/>
        </w:tabs>
        <w:ind w:left="3600" w:hanging="360"/>
      </w:pPr>
      <w:rPr>
        <w:rFonts w:ascii="Arial" w:hAnsi="Arial" w:hint="default"/>
      </w:rPr>
    </w:lvl>
    <w:lvl w:ilvl="5" w:tplc="2A9E32B8" w:tentative="1">
      <w:start w:val="1"/>
      <w:numFmt w:val="bullet"/>
      <w:lvlText w:val="•"/>
      <w:lvlJc w:val="left"/>
      <w:pPr>
        <w:tabs>
          <w:tab w:val="num" w:pos="4320"/>
        </w:tabs>
        <w:ind w:left="4320" w:hanging="360"/>
      </w:pPr>
      <w:rPr>
        <w:rFonts w:ascii="Arial" w:hAnsi="Arial" w:hint="default"/>
      </w:rPr>
    </w:lvl>
    <w:lvl w:ilvl="6" w:tplc="2FB48E34" w:tentative="1">
      <w:start w:val="1"/>
      <w:numFmt w:val="bullet"/>
      <w:lvlText w:val="•"/>
      <w:lvlJc w:val="left"/>
      <w:pPr>
        <w:tabs>
          <w:tab w:val="num" w:pos="5040"/>
        </w:tabs>
        <w:ind w:left="5040" w:hanging="360"/>
      </w:pPr>
      <w:rPr>
        <w:rFonts w:ascii="Arial" w:hAnsi="Arial" w:hint="default"/>
      </w:rPr>
    </w:lvl>
    <w:lvl w:ilvl="7" w:tplc="EAECE0F2" w:tentative="1">
      <w:start w:val="1"/>
      <w:numFmt w:val="bullet"/>
      <w:lvlText w:val="•"/>
      <w:lvlJc w:val="left"/>
      <w:pPr>
        <w:tabs>
          <w:tab w:val="num" w:pos="5760"/>
        </w:tabs>
        <w:ind w:left="5760" w:hanging="360"/>
      </w:pPr>
      <w:rPr>
        <w:rFonts w:ascii="Arial" w:hAnsi="Arial" w:hint="default"/>
      </w:rPr>
    </w:lvl>
    <w:lvl w:ilvl="8" w:tplc="5158132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F4C6A84"/>
    <w:multiLevelType w:val="hybridMultilevel"/>
    <w:tmpl w:val="400C9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197601D"/>
    <w:multiLevelType w:val="hybridMultilevel"/>
    <w:tmpl w:val="20302FB8"/>
    <w:lvl w:ilvl="0" w:tplc="F24E2BCC">
      <w:start w:val="1"/>
      <w:numFmt w:val="bullet"/>
      <w:lvlText w:val="•"/>
      <w:lvlJc w:val="left"/>
      <w:pPr>
        <w:tabs>
          <w:tab w:val="num" w:pos="720"/>
        </w:tabs>
        <w:ind w:left="720" w:hanging="360"/>
      </w:pPr>
      <w:rPr>
        <w:rFonts w:ascii="Arial" w:hAnsi="Arial" w:hint="default"/>
      </w:rPr>
    </w:lvl>
    <w:lvl w:ilvl="1" w:tplc="A170D330">
      <w:numFmt w:val="bullet"/>
      <w:lvlText w:val="•"/>
      <w:lvlJc w:val="left"/>
      <w:pPr>
        <w:tabs>
          <w:tab w:val="num" w:pos="1440"/>
        </w:tabs>
        <w:ind w:left="1440" w:hanging="360"/>
      </w:pPr>
      <w:rPr>
        <w:rFonts w:ascii="Arial" w:hAnsi="Arial" w:hint="default"/>
      </w:rPr>
    </w:lvl>
    <w:lvl w:ilvl="2" w:tplc="728CD6AE" w:tentative="1">
      <w:start w:val="1"/>
      <w:numFmt w:val="bullet"/>
      <w:lvlText w:val="•"/>
      <w:lvlJc w:val="left"/>
      <w:pPr>
        <w:tabs>
          <w:tab w:val="num" w:pos="2160"/>
        </w:tabs>
        <w:ind w:left="2160" w:hanging="360"/>
      </w:pPr>
      <w:rPr>
        <w:rFonts w:ascii="Arial" w:hAnsi="Arial" w:hint="default"/>
      </w:rPr>
    </w:lvl>
    <w:lvl w:ilvl="3" w:tplc="581E0622" w:tentative="1">
      <w:start w:val="1"/>
      <w:numFmt w:val="bullet"/>
      <w:lvlText w:val="•"/>
      <w:lvlJc w:val="left"/>
      <w:pPr>
        <w:tabs>
          <w:tab w:val="num" w:pos="2880"/>
        </w:tabs>
        <w:ind w:left="2880" w:hanging="360"/>
      </w:pPr>
      <w:rPr>
        <w:rFonts w:ascii="Arial" w:hAnsi="Arial" w:hint="default"/>
      </w:rPr>
    </w:lvl>
    <w:lvl w:ilvl="4" w:tplc="AD6EE1C8" w:tentative="1">
      <w:start w:val="1"/>
      <w:numFmt w:val="bullet"/>
      <w:lvlText w:val="•"/>
      <w:lvlJc w:val="left"/>
      <w:pPr>
        <w:tabs>
          <w:tab w:val="num" w:pos="3600"/>
        </w:tabs>
        <w:ind w:left="3600" w:hanging="360"/>
      </w:pPr>
      <w:rPr>
        <w:rFonts w:ascii="Arial" w:hAnsi="Arial" w:hint="default"/>
      </w:rPr>
    </w:lvl>
    <w:lvl w:ilvl="5" w:tplc="608C4C9A" w:tentative="1">
      <w:start w:val="1"/>
      <w:numFmt w:val="bullet"/>
      <w:lvlText w:val="•"/>
      <w:lvlJc w:val="left"/>
      <w:pPr>
        <w:tabs>
          <w:tab w:val="num" w:pos="4320"/>
        </w:tabs>
        <w:ind w:left="4320" w:hanging="360"/>
      </w:pPr>
      <w:rPr>
        <w:rFonts w:ascii="Arial" w:hAnsi="Arial" w:hint="default"/>
      </w:rPr>
    </w:lvl>
    <w:lvl w:ilvl="6" w:tplc="2898C7DE" w:tentative="1">
      <w:start w:val="1"/>
      <w:numFmt w:val="bullet"/>
      <w:lvlText w:val="•"/>
      <w:lvlJc w:val="left"/>
      <w:pPr>
        <w:tabs>
          <w:tab w:val="num" w:pos="5040"/>
        </w:tabs>
        <w:ind w:left="5040" w:hanging="360"/>
      </w:pPr>
      <w:rPr>
        <w:rFonts w:ascii="Arial" w:hAnsi="Arial" w:hint="default"/>
      </w:rPr>
    </w:lvl>
    <w:lvl w:ilvl="7" w:tplc="49243D42" w:tentative="1">
      <w:start w:val="1"/>
      <w:numFmt w:val="bullet"/>
      <w:lvlText w:val="•"/>
      <w:lvlJc w:val="left"/>
      <w:pPr>
        <w:tabs>
          <w:tab w:val="num" w:pos="5760"/>
        </w:tabs>
        <w:ind w:left="5760" w:hanging="360"/>
      </w:pPr>
      <w:rPr>
        <w:rFonts w:ascii="Arial" w:hAnsi="Arial" w:hint="default"/>
      </w:rPr>
    </w:lvl>
    <w:lvl w:ilvl="8" w:tplc="6CD81EB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3540AEE"/>
    <w:multiLevelType w:val="hybridMultilevel"/>
    <w:tmpl w:val="DEF27CFC"/>
    <w:lvl w:ilvl="0" w:tplc="446674EA">
      <w:start w:val="1"/>
      <w:numFmt w:val="bullet"/>
      <w:lvlText w:val=""/>
      <w:lvlJc w:val="left"/>
      <w:pPr>
        <w:tabs>
          <w:tab w:val="num" w:pos="720"/>
        </w:tabs>
        <w:ind w:left="720" w:hanging="360"/>
      </w:pPr>
      <w:rPr>
        <w:rFonts w:ascii="Wingdings" w:hAnsi="Wingdings" w:hint="default"/>
      </w:rPr>
    </w:lvl>
    <w:lvl w:ilvl="1" w:tplc="D982FD5E">
      <w:numFmt w:val="bullet"/>
      <w:lvlText w:val="o"/>
      <w:lvlJc w:val="left"/>
      <w:pPr>
        <w:tabs>
          <w:tab w:val="num" w:pos="1440"/>
        </w:tabs>
        <w:ind w:left="1440" w:hanging="360"/>
      </w:pPr>
      <w:rPr>
        <w:rFonts w:ascii="Courier New" w:hAnsi="Courier New" w:hint="default"/>
      </w:rPr>
    </w:lvl>
    <w:lvl w:ilvl="2" w:tplc="8D187C82">
      <w:start w:val="1"/>
      <w:numFmt w:val="bullet"/>
      <w:lvlText w:val=""/>
      <w:lvlJc w:val="left"/>
      <w:pPr>
        <w:tabs>
          <w:tab w:val="num" w:pos="2160"/>
        </w:tabs>
        <w:ind w:left="2160" w:hanging="360"/>
      </w:pPr>
      <w:rPr>
        <w:rFonts w:ascii="Wingdings" w:hAnsi="Wingdings" w:hint="default"/>
      </w:rPr>
    </w:lvl>
    <w:lvl w:ilvl="3" w:tplc="0222100C" w:tentative="1">
      <w:start w:val="1"/>
      <w:numFmt w:val="bullet"/>
      <w:lvlText w:val=""/>
      <w:lvlJc w:val="left"/>
      <w:pPr>
        <w:tabs>
          <w:tab w:val="num" w:pos="2880"/>
        </w:tabs>
        <w:ind w:left="2880" w:hanging="360"/>
      </w:pPr>
      <w:rPr>
        <w:rFonts w:ascii="Wingdings" w:hAnsi="Wingdings" w:hint="default"/>
      </w:rPr>
    </w:lvl>
    <w:lvl w:ilvl="4" w:tplc="0A2CB85C" w:tentative="1">
      <w:start w:val="1"/>
      <w:numFmt w:val="bullet"/>
      <w:lvlText w:val=""/>
      <w:lvlJc w:val="left"/>
      <w:pPr>
        <w:tabs>
          <w:tab w:val="num" w:pos="3600"/>
        </w:tabs>
        <w:ind w:left="3600" w:hanging="360"/>
      </w:pPr>
      <w:rPr>
        <w:rFonts w:ascii="Wingdings" w:hAnsi="Wingdings" w:hint="default"/>
      </w:rPr>
    </w:lvl>
    <w:lvl w:ilvl="5" w:tplc="178809BC" w:tentative="1">
      <w:start w:val="1"/>
      <w:numFmt w:val="bullet"/>
      <w:lvlText w:val=""/>
      <w:lvlJc w:val="left"/>
      <w:pPr>
        <w:tabs>
          <w:tab w:val="num" w:pos="4320"/>
        </w:tabs>
        <w:ind w:left="4320" w:hanging="360"/>
      </w:pPr>
      <w:rPr>
        <w:rFonts w:ascii="Wingdings" w:hAnsi="Wingdings" w:hint="default"/>
      </w:rPr>
    </w:lvl>
    <w:lvl w:ilvl="6" w:tplc="DCF2BE2C" w:tentative="1">
      <w:start w:val="1"/>
      <w:numFmt w:val="bullet"/>
      <w:lvlText w:val=""/>
      <w:lvlJc w:val="left"/>
      <w:pPr>
        <w:tabs>
          <w:tab w:val="num" w:pos="5040"/>
        </w:tabs>
        <w:ind w:left="5040" w:hanging="360"/>
      </w:pPr>
      <w:rPr>
        <w:rFonts w:ascii="Wingdings" w:hAnsi="Wingdings" w:hint="default"/>
      </w:rPr>
    </w:lvl>
    <w:lvl w:ilvl="7" w:tplc="19BA6748" w:tentative="1">
      <w:start w:val="1"/>
      <w:numFmt w:val="bullet"/>
      <w:lvlText w:val=""/>
      <w:lvlJc w:val="left"/>
      <w:pPr>
        <w:tabs>
          <w:tab w:val="num" w:pos="5760"/>
        </w:tabs>
        <w:ind w:left="5760" w:hanging="360"/>
      </w:pPr>
      <w:rPr>
        <w:rFonts w:ascii="Wingdings" w:hAnsi="Wingdings" w:hint="default"/>
      </w:rPr>
    </w:lvl>
    <w:lvl w:ilvl="8" w:tplc="A30A234E"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49" w15:restartNumberingAfterBreak="0">
    <w:nsid w:val="59A55657"/>
    <w:multiLevelType w:val="hybridMultilevel"/>
    <w:tmpl w:val="28CA3E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5C0C0E3E"/>
    <w:multiLevelType w:val="hybridMultilevel"/>
    <w:tmpl w:val="7CE24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D8B753B"/>
    <w:multiLevelType w:val="hybridMultilevel"/>
    <w:tmpl w:val="678E3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EBE5930"/>
    <w:multiLevelType w:val="hybridMultilevel"/>
    <w:tmpl w:val="A462D92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8B61A6"/>
    <w:multiLevelType w:val="hybridMultilevel"/>
    <w:tmpl w:val="E788F64E"/>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6104C50"/>
    <w:multiLevelType w:val="hybridMultilevel"/>
    <w:tmpl w:val="A1BE9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96A60E5"/>
    <w:multiLevelType w:val="hybridMultilevel"/>
    <w:tmpl w:val="A3AA5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2ED2BC0"/>
    <w:multiLevelType w:val="hybridMultilevel"/>
    <w:tmpl w:val="3C504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40"/>
  </w:num>
  <w:num w:numId="3">
    <w:abstractNumId w:val="65"/>
  </w:num>
  <w:num w:numId="4">
    <w:abstractNumId w:val="42"/>
  </w:num>
  <w:num w:numId="5">
    <w:abstractNumId w:val="38"/>
  </w:num>
  <w:num w:numId="6">
    <w:abstractNumId w:val="5"/>
  </w:num>
  <w:num w:numId="7">
    <w:abstractNumId w:val="63"/>
  </w:num>
  <w:num w:numId="8">
    <w:abstractNumId w:val="35"/>
  </w:num>
  <w:num w:numId="9">
    <w:abstractNumId w:val="53"/>
  </w:num>
  <w:num w:numId="10">
    <w:abstractNumId w:val="39"/>
  </w:num>
  <w:num w:numId="11">
    <w:abstractNumId w:val="24"/>
  </w:num>
  <w:num w:numId="12">
    <w:abstractNumId w:val="2"/>
  </w:num>
  <w:num w:numId="13">
    <w:abstractNumId w:val="3"/>
  </w:num>
  <w:num w:numId="14">
    <w:abstractNumId w:val="61"/>
  </w:num>
  <w:num w:numId="15">
    <w:abstractNumId w:val="0"/>
  </w:num>
  <w:num w:numId="16">
    <w:abstractNumId w:val="44"/>
  </w:num>
  <w:num w:numId="17">
    <w:abstractNumId w:val="46"/>
  </w:num>
  <w:num w:numId="18">
    <w:abstractNumId w:val="64"/>
  </w:num>
  <w:num w:numId="19">
    <w:abstractNumId w:val="25"/>
  </w:num>
  <w:num w:numId="20">
    <w:abstractNumId w:val="37"/>
  </w:num>
  <w:num w:numId="21">
    <w:abstractNumId w:val="31"/>
  </w:num>
  <w:num w:numId="22">
    <w:abstractNumId w:val="27"/>
  </w:num>
  <w:num w:numId="23">
    <w:abstractNumId w:val="23"/>
  </w:num>
  <w:num w:numId="24">
    <w:abstractNumId w:val="14"/>
  </w:num>
  <w:num w:numId="25">
    <w:abstractNumId w:val="1"/>
    <w:lvlOverride w:ilvl="0">
      <w:startOverride w:val="1"/>
    </w:lvlOverride>
  </w:num>
  <w:num w:numId="26">
    <w:abstractNumId w:val="21"/>
  </w:num>
  <w:num w:numId="27">
    <w:abstractNumId w:val="22"/>
  </w:num>
  <w:num w:numId="28">
    <w:abstractNumId w:val="6"/>
  </w:num>
  <w:num w:numId="29">
    <w:abstractNumId w:val="48"/>
  </w:num>
  <w:num w:numId="30">
    <w:abstractNumId w:val="18"/>
  </w:num>
  <w:num w:numId="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6"/>
  </w:num>
  <w:num w:numId="34">
    <w:abstractNumId w:val="11"/>
  </w:num>
  <w:num w:numId="35">
    <w:abstractNumId w:val="34"/>
  </w:num>
  <w:num w:numId="36">
    <w:abstractNumId w:val="15"/>
  </w:num>
  <w:num w:numId="37">
    <w:abstractNumId w:val="45"/>
  </w:num>
  <w:num w:numId="38">
    <w:abstractNumId w:val="30"/>
  </w:num>
  <w:num w:numId="39">
    <w:abstractNumId w:val="17"/>
  </w:num>
  <w:num w:numId="40">
    <w:abstractNumId w:val="1"/>
  </w:num>
  <w:num w:numId="41">
    <w:abstractNumId w:val="33"/>
  </w:num>
  <w:num w:numId="42">
    <w:abstractNumId w:val="50"/>
  </w:num>
  <w:num w:numId="43">
    <w:abstractNumId w:val="47"/>
  </w:num>
  <w:num w:numId="44">
    <w:abstractNumId w:val="26"/>
  </w:num>
  <w:num w:numId="45">
    <w:abstractNumId w:val="28"/>
  </w:num>
  <w:num w:numId="46">
    <w:abstractNumId w:val="51"/>
  </w:num>
  <w:num w:numId="47">
    <w:abstractNumId w:val="43"/>
  </w:num>
  <w:num w:numId="48">
    <w:abstractNumId w:val="29"/>
  </w:num>
  <w:num w:numId="49">
    <w:abstractNumId w:val="9"/>
  </w:num>
  <w:num w:numId="50">
    <w:abstractNumId w:val="13"/>
  </w:num>
  <w:num w:numId="51">
    <w:abstractNumId w:val="8"/>
  </w:num>
  <w:num w:numId="52">
    <w:abstractNumId w:val="10"/>
  </w:num>
  <w:num w:numId="53">
    <w:abstractNumId w:val="41"/>
  </w:num>
  <w:num w:numId="54">
    <w:abstractNumId w:val="56"/>
  </w:num>
  <w:num w:numId="55">
    <w:abstractNumId w:val="20"/>
  </w:num>
  <w:num w:numId="56">
    <w:abstractNumId w:val="58"/>
  </w:num>
  <w:num w:numId="57">
    <w:abstractNumId w:val="59"/>
  </w:num>
  <w:num w:numId="58">
    <w:abstractNumId w:val="19"/>
  </w:num>
  <w:num w:numId="59">
    <w:abstractNumId w:val="60"/>
  </w:num>
  <w:num w:numId="60">
    <w:abstractNumId w:val="36"/>
  </w:num>
  <w:num w:numId="61">
    <w:abstractNumId w:val="20"/>
  </w:num>
  <w:num w:numId="6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2"/>
  </w:num>
  <w:num w:numId="64">
    <w:abstractNumId w:val="57"/>
  </w:num>
  <w:num w:numId="65">
    <w:abstractNumId w:val="7"/>
  </w:num>
  <w:num w:numId="66">
    <w:abstractNumId w:val="12"/>
  </w:num>
  <w:num w:numId="67">
    <w:abstractNumId w:val="49"/>
  </w:num>
  <w:num w:numId="68">
    <w:abstractNumId w:val="12"/>
  </w:num>
  <w:num w:numId="69">
    <w:abstractNumId w:val="54"/>
  </w:num>
  <w:num w:numId="70">
    <w:abstractNumId w:val="5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5D28"/>
    <w:rsid w:val="00013DF7"/>
    <w:rsid w:val="000146B7"/>
    <w:rsid w:val="0001767C"/>
    <w:rsid w:val="000228CC"/>
    <w:rsid w:val="000231C0"/>
    <w:rsid w:val="00027BAE"/>
    <w:rsid w:val="00033B0B"/>
    <w:rsid w:val="0003430D"/>
    <w:rsid w:val="000370E1"/>
    <w:rsid w:val="0003720A"/>
    <w:rsid w:val="00037B94"/>
    <w:rsid w:val="00037E32"/>
    <w:rsid w:val="000410E7"/>
    <w:rsid w:val="000430F4"/>
    <w:rsid w:val="00045501"/>
    <w:rsid w:val="00054543"/>
    <w:rsid w:val="00054AE5"/>
    <w:rsid w:val="00055E7D"/>
    <w:rsid w:val="00062718"/>
    <w:rsid w:val="000666F8"/>
    <w:rsid w:val="00070F6F"/>
    <w:rsid w:val="00073E2D"/>
    <w:rsid w:val="00076018"/>
    <w:rsid w:val="000766E0"/>
    <w:rsid w:val="000806E7"/>
    <w:rsid w:val="0008111A"/>
    <w:rsid w:val="00083372"/>
    <w:rsid w:val="0008376C"/>
    <w:rsid w:val="000857BF"/>
    <w:rsid w:val="00090F2F"/>
    <w:rsid w:val="00092C72"/>
    <w:rsid w:val="000937F9"/>
    <w:rsid w:val="000958AF"/>
    <w:rsid w:val="000A3E5A"/>
    <w:rsid w:val="000A5D31"/>
    <w:rsid w:val="000A7317"/>
    <w:rsid w:val="000A75B0"/>
    <w:rsid w:val="000B1540"/>
    <w:rsid w:val="000B2017"/>
    <w:rsid w:val="000B2115"/>
    <w:rsid w:val="000B3C26"/>
    <w:rsid w:val="000B792D"/>
    <w:rsid w:val="000C5E9C"/>
    <w:rsid w:val="000C6B0D"/>
    <w:rsid w:val="000D3E4E"/>
    <w:rsid w:val="000D4892"/>
    <w:rsid w:val="000D7023"/>
    <w:rsid w:val="000D7276"/>
    <w:rsid w:val="000D7297"/>
    <w:rsid w:val="000E081F"/>
    <w:rsid w:val="000E2824"/>
    <w:rsid w:val="000E36EC"/>
    <w:rsid w:val="000E6249"/>
    <w:rsid w:val="000E63F2"/>
    <w:rsid w:val="000F195F"/>
    <w:rsid w:val="000F5F22"/>
    <w:rsid w:val="001008FA"/>
    <w:rsid w:val="00100C0C"/>
    <w:rsid w:val="00103758"/>
    <w:rsid w:val="00103851"/>
    <w:rsid w:val="001079CA"/>
    <w:rsid w:val="00112891"/>
    <w:rsid w:val="0011359E"/>
    <w:rsid w:val="0012162D"/>
    <w:rsid w:val="001216BD"/>
    <w:rsid w:val="001223F3"/>
    <w:rsid w:val="0012415D"/>
    <w:rsid w:val="001245E0"/>
    <w:rsid w:val="00124F48"/>
    <w:rsid w:val="00127558"/>
    <w:rsid w:val="0013001B"/>
    <w:rsid w:val="001378EC"/>
    <w:rsid w:val="00137F94"/>
    <w:rsid w:val="001436CA"/>
    <w:rsid w:val="00144BF8"/>
    <w:rsid w:val="00147337"/>
    <w:rsid w:val="00154E49"/>
    <w:rsid w:val="0015502A"/>
    <w:rsid w:val="00161383"/>
    <w:rsid w:val="0016496A"/>
    <w:rsid w:val="00167A2A"/>
    <w:rsid w:val="00172CA3"/>
    <w:rsid w:val="00175632"/>
    <w:rsid w:val="00176F46"/>
    <w:rsid w:val="00180764"/>
    <w:rsid w:val="00182A76"/>
    <w:rsid w:val="00184C7A"/>
    <w:rsid w:val="00190609"/>
    <w:rsid w:val="00190F9A"/>
    <w:rsid w:val="00196851"/>
    <w:rsid w:val="001A110A"/>
    <w:rsid w:val="001A2D69"/>
    <w:rsid w:val="001A39C8"/>
    <w:rsid w:val="001A53F8"/>
    <w:rsid w:val="001A763F"/>
    <w:rsid w:val="001B1669"/>
    <w:rsid w:val="001B21F9"/>
    <w:rsid w:val="001B2355"/>
    <w:rsid w:val="001B50B9"/>
    <w:rsid w:val="001B7ADF"/>
    <w:rsid w:val="001C7A96"/>
    <w:rsid w:val="001E0EFA"/>
    <w:rsid w:val="001E1EE3"/>
    <w:rsid w:val="001F6C2B"/>
    <w:rsid w:val="001F7D26"/>
    <w:rsid w:val="00200759"/>
    <w:rsid w:val="002053BB"/>
    <w:rsid w:val="00205606"/>
    <w:rsid w:val="00205ACB"/>
    <w:rsid w:val="00207EBC"/>
    <w:rsid w:val="00213070"/>
    <w:rsid w:val="00213D5D"/>
    <w:rsid w:val="002147D1"/>
    <w:rsid w:val="002150DF"/>
    <w:rsid w:val="00215B80"/>
    <w:rsid w:val="00216A8D"/>
    <w:rsid w:val="0022089F"/>
    <w:rsid w:val="0022093A"/>
    <w:rsid w:val="00224BA3"/>
    <w:rsid w:val="002317BC"/>
    <w:rsid w:val="00231D26"/>
    <w:rsid w:val="0023415E"/>
    <w:rsid w:val="00235FDF"/>
    <w:rsid w:val="0024332F"/>
    <w:rsid w:val="00247523"/>
    <w:rsid w:val="00257AD2"/>
    <w:rsid w:val="00260FB9"/>
    <w:rsid w:val="00270EF9"/>
    <w:rsid w:val="00273C47"/>
    <w:rsid w:val="00273E91"/>
    <w:rsid w:val="002764DD"/>
    <w:rsid w:val="00280192"/>
    <w:rsid w:val="00280478"/>
    <w:rsid w:val="0028136F"/>
    <w:rsid w:val="00284A43"/>
    <w:rsid w:val="0028536A"/>
    <w:rsid w:val="00285D76"/>
    <w:rsid w:val="00292883"/>
    <w:rsid w:val="00296B3D"/>
    <w:rsid w:val="00297DDF"/>
    <w:rsid w:val="002A1728"/>
    <w:rsid w:val="002A2844"/>
    <w:rsid w:val="002A3466"/>
    <w:rsid w:val="002A4E64"/>
    <w:rsid w:val="002A5478"/>
    <w:rsid w:val="002A65F3"/>
    <w:rsid w:val="002A709C"/>
    <w:rsid w:val="002A7B15"/>
    <w:rsid w:val="002A7B99"/>
    <w:rsid w:val="002B1AE2"/>
    <w:rsid w:val="002B386D"/>
    <w:rsid w:val="002B4CDB"/>
    <w:rsid w:val="002B53C5"/>
    <w:rsid w:val="002B6017"/>
    <w:rsid w:val="002C136E"/>
    <w:rsid w:val="002C225D"/>
    <w:rsid w:val="002C7E73"/>
    <w:rsid w:val="002D1318"/>
    <w:rsid w:val="002D560E"/>
    <w:rsid w:val="002E1B20"/>
    <w:rsid w:val="002E2613"/>
    <w:rsid w:val="002E46FC"/>
    <w:rsid w:val="002E4E15"/>
    <w:rsid w:val="002F044D"/>
    <w:rsid w:val="002F4383"/>
    <w:rsid w:val="00301906"/>
    <w:rsid w:val="00304979"/>
    <w:rsid w:val="00305DB3"/>
    <w:rsid w:val="00306268"/>
    <w:rsid w:val="0030770B"/>
    <w:rsid w:val="0031110E"/>
    <w:rsid w:val="003124BC"/>
    <w:rsid w:val="003137D2"/>
    <w:rsid w:val="0031510A"/>
    <w:rsid w:val="00320039"/>
    <w:rsid w:val="00322F63"/>
    <w:rsid w:val="00324E3B"/>
    <w:rsid w:val="00327C1E"/>
    <w:rsid w:val="00331F36"/>
    <w:rsid w:val="00332A3F"/>
    <w:rsid w:val="00333E72"/>
    <w:rsid w:val="003346F0"/>
    <w:rsid w:val="00342965"/>
    <w:rsid w:val="0034384E"/>
    <w:rsid w:val="0035056C"/>
    <w:rsid w:val="00351F22"/>
    <w:rsid w:val="003629DE"/>
    <w:rsid w:val="00363585"/>
    <w:rsid w:val="00363B9A"/>
    <w:rsid w:val="00366981"/>
    <w:rsid w:val="00366B99"/>
    <w:rsid w:val="00367345"/>
    <w:rsid w:val="00367E48"/>
    <w:rsid w:val="0037035B"/>
    <w:rsid w:val="00371B3A"/>
    <w:rsid w:val="00374989"/>
    <w:rsid w:val="00375F31"/>
    <w:rsid w:val="00376CB1"/>
    <w:rsid w:val="00376EA0"/>
    <w:rsid w:val="00377345"/>
    <w:rsid w:val="00382BE7"/>
    <w:rsid w:val="00387082"/>
    <w:rsid w:val="0039017D"/>
    <w:rsid w:val="0039051C"/>
    <w:rsid w:val="00390DD4"/>
    <w:rsid w:val="0039128F"/>
    <w:rsid w:val="00392475"/>
    <w:rsid w:val="00395ED5"/>
    <w:rsid w:val="00397668"/>
    <w:rsid w:val="00397F19"/>
    <w:rsid w:val="003A033D"/>
    <w:rsid w:val="003A0F8F"/>
    <w:rsid w:val="003A1C46"/>
    <w:rsid w:val="003A75A5"/>
    <w:rsid w:val="003B2E70"/>
    <w:rsid w:val="003B5254"/>
    <w:rsid w:val="003B6750"/>
    <w:rsid w:val="003B7686"/>
    <w:rsid w:val="003B7EF1"/>
    <w:rsid w:val="003C1597"/>
    <w:rsid w:val="003C171A"/>
    <w:rsid w:val="003C1E22"/>
    <w:rsid w:val="003C3641"/>
    <w:rsid w:val="003C4F56"/>
    <w:rsid w:val="003C7FA2"/>
    <w:rsid w:val="003D0277"/>
    <w:rsid w:val="003D047C"/>
    <w:rsid w:val="003D6426"/>
    <w:rsid w:val="003D6E07"/>
    <w:rsid w:val="003E0D33"/>
    <w:rsid w:val="003E2398"/>
    <w:rsid w:val="003E242C"/>
    <w:rsid w:val="003E4361"/>
    <w:rsid w:val="003E5117"/>
    <w:rsid w:val="003E6796"/>
    <w:rsid w:val="003F1425"/>
    <w:rsid w:val="003F214A"/>
    <w:rsid w:val="003F5306"/>
    <w:rsid w:val="003F6737"/>
    <w:rsid w:val="003F6B18"/>
    <w:rsid w:val="004039F3"/>
    <w:rsid w:val="00404CCD"/>
    <w:rsid w:val="00410BAC"/>
    <w:rsid w:val="00410CCF"/>
    <w:rsid w:val="00421CD2"/>
    <w:rsid w:val="004230B8"/>
    <w:rsid w:val="00423F81"/>
    <w:rsid w:val="004278C1"/>
    <w:rsid w:val="00431990"/>
    <w:rsid w:val="00433E99"/>
    <w:rsid w:val="0043538A"/>
    <w:rsid w:val="0043698B"/>
    <w:rsid w:val="00437EB9"/>
    <w:rsid w:val="004412B7"/>
    <w:rsid w:val="00441F88"/>
    <w:rsid w:val="00442561"/>
    <w:rsid w:val="004440D6"/>
    <w:rsid w:val="00444EC9"/>
    <w:rsid w:val="0044724E"/>
    <w:rsid w:val="00450D19"/>
    <w:rsid w:val="0045185F"/>
    <w:rsid w:val="004526F4"/>
    <w:rsid w:val="0045759F"/>
    <w:rsid w:val="00457763"/>
    <w:rsid w:val="00462EDF"/>
    <w:rsid w:val="00473420"/>
    <w:rsid w:val="0047544E"/>
    <w:rsid w:val="004772A1"/>
    <w:rsid w:val="004803B7"/>
    <w:rsid w:val="004914D1"/>
    <w:rsid w:val="00491993"/>
    <w:rsid w:val="004962C5"/>
    <w:rsid w:val="0049677E"/>
    <w:rsid w:val="00496C2E"/>
    <w:rsid w:val="0049752F"/>
    <w:rsid w:val="004A216F"/>
    <w:rsid w:val="004A2C9B"/>
    <w:rsid w:val="004B2F38"/>
    <w:rsid w:val="004B3380"/>
    <w:rsid w:val="004B55DF"/>
    <w:rsid w:val="004B56F0"/>
    <w:rsid w:val="004B74E8"/>
    <w:rsid w:val="004B79CE"/>
    <w:rsid w:val="004C4AE6"/>
    <w:rsid w:val="004C5A4A"/>
    <w:rsid w:val="004C716B"/>
    <w:rsid w:val="004C72A6"/>
    <w:rsid w:val="004D10C9"/>
    <w:rsid w:val="004D1327"/>
    <w:rsid w:val="004D1377"/>
    <w:rsid w:val="004D3CCB"/>
    <w:rsid w:val="004E02AB"/>
    <w:rsid w:val="004E44AA"/>
    <w:rsid w:val="004E48B0"/>
    <w:rsid w:val="004E67B2"/>
    <w:rsid w:val="004F0E04"/>
    <w:rsid w:val="004F295D"/>
    <w:rsid w:val="004F4610"/>
    <w:rsid w:val="004F6AFC"/>
    <w:rsid w:val="0050049D"/>
    <w:rsid w:val="00500AD2"/>
    <w:rsid w:val="00507411"/>
    <w:rsid w:val="005152A8"/>
    <w:rsid w:val="005163CE"/>
    <w:rsid w:val="00520BE0"/>
    <w:rsid w:val="00520E59"/>
    <w:rsid w:val="00521AA5"/>
    <w:rsid w:val="00530799"/>
    <w:rsid w:val="00540AE7"/>
    <w:rsid w:val="005415E2"/>
    <w:rsid w:val="00541D1D"/>
    <w:rsid w:val="00554794"/>
    <w:rsid w:val="0055491D"/>
    <w:rsid w:val="005551B3"/>
    <w:rsid w:val="00555F24"/>
    <w:rsid w:val="00557216"/>
    <w:rsid w:val="0056166F"/>
    <w:rsid w:val="00561B6B"/>
    <w:rsid w:val="00563E7A"/>
    <w:rsid w:val="0056445A"/>
    <w:rsid w:val="0057223A"/>
    <w:rsid w:val="00576517"/>
    <w:rsid w:val="00581369"/>
    <w:rsid w:val="0059332D"/>
    <w:rsid w:val="0059468C"/>
    <w:rsid w:val="005969BC"/>
    <w:rsid w:val="005A28AF"/>
    <w:rsid w:val="005A4419"/>
    <w:rsid w:val="005A5FF0"/>
    <w:rsid w:val="005B0C9C"/>
    <w:rsid w:val="005B3A24"/>
    <w:rsid w:val="005B47EA"/>
    <w:rsid w:val="005B5C7C"/>
    <w:rsid w:val="005B6EAB"/>
    <w:rsid w:val="005C0B6B"/>
    <w:rsid w:val="005C51F8"/>
    <w:rsid w:val="005C769E"/>
    <w:rsid w:val="005D39E3"/>
    <w:rsid w:val="005D48F6"/>
    <w:rsid w:val="005E0961"/>
    <w:rsid w:val="005E1032"/>
    <w:rsid w:val="005E20CA"/>
    <w:rsid w:val="005E310F"/>
    <w:rsid w:val="005E5BE5"/>
    <w:rsid w:val="005F01E1"/>
    <w:rsid w:val="005F2123"/>
    <w:rsid w:val="005F534C"/>
    <w:rsid w:val="005F6F46"/>
    <w:rsid w:val="0060309C"/>
    <w:rsid w:val="0060335A"/>
    <w:rsid w:val="006069B3"/>
    <w:rsid w:val="00611CAE"/>
    <w:rsid w:val="006131D0"/>
    <w:rsid w:val="0061387D"/>
    <w:rsid w:val="006149E8"/>
    <w:rsid w:val="00614A0D"/>
    <w:rsid w:val="006156B4"/>
    <w:rsid w:val="00621227"/>
    <w:rsid w:val="00624CBE"/>
    <w:rsid w:val="006252CE"/>
    <w:rsid w:val="006274D1"/>
    <w:rsid w:val="00627D12"/>
    <w:rsid w:val="006304C7"/>
    <w:rsid w:val="006312D9"/>
    <w:rsid w:val="00631FAC"/>
    <w:rsid w:val="00634597"/>
    <w:rsid w:val="00634C39"/>
    <w:rsid w:val="006429A1"/>
    <w:rsid w:val="006438F0"/>
    <w:rsid w:val="00643D1E"/>
    <w:rsid w:val="00645883"/>
    <w:rsid w:val="0064656A"/>
    <w:rsid w:val="006557C1"/>
    <w:rsid w:val="00661938"/>
    <w:rsid w:val="0066272D"/>
    <w:rsid w:val="0066276B"/>
    <w:rsid w:val="00663B30"/>
    <w:rsid w:val="0066409B"/>
    <w:rsid w:val="0066446C"/>
    <w:rsid w:val="00666038"/>
    <w:rsid w:val="00674539"/>
    <w:rsid w:val="0067530F"/>
    <w:rsid w:val="00680C9C"/>
    <w:rsid w:val="00680DA8"/>
    <w:rsid w:val="0068217D"/>
    <w:rsid w:val="006824DF"/>
    <w:rsid w:val="00687A89"/>
    <w:rsid w:val="006A427B"/>
    <w:rsid w:val="006B0E0C"/>
    <w:rsid w:val="006B1AAE"/>
    <w:rsid w:val="006B6672"/>
    <w:rsid w:val="006C204E"/>
    <w:rsid w:val="006C3F53"/>
    <w:rsid w:val="006D1381"/>
    <w:rsid w:val="006D28C1"/>
    <w:rsid w:val="006D3CBB"/>
    <w:rsid w:val="006D495C"/>
    <w:rsid w:val="006D57E6"/>
    <w:rsid w:val="006D764E"/>
    <w:rsid w:val="006E1B48"/>
    <w:rsid w:val="006E6DD1"/>
    <w:rsid w:val="006E6EC9"/>
    <w:rsid w:val="006F38C7"/>
    <w:rsid w:val="006F40BC"/>
    <w:rsid w:val="006F4D72"/>
    <w:rsid w:val="006F6AF3"/>
    <w:rsid w:val="006F6E51"/>
    <w:rsid w:val="00700479"/>
    <w:rsid w:val="00706D49"/>
    <w:rsid w:val="007104FB"/>
    <w:rsid w:val="0071169D"/>
    <w:rsid w:val="00711A57"/>
    <w:rsid w:val="007124C4"/>
    <w:rsid w:val="007138AF"/>
    <w:rsid w:val="00714628"/>
    <w:rsid w:val="007214B5"/>
    <w:rsid w:val="00721FFC"/>
    <w:rsid w:val="00731708"/>
    <w:rsid w:val="00732335"/>
    <w:rsid w:val="007324FF"/>
    <w:rsid w:val="007359FC"/>
    <w:rsid w:val="0073778F"/>
    <w:rsid w:val="00740832"/>
    <w:rsid w:val="007410FD"/>
    <w:rsid w:val="007417D2"/>
    <w:rsid w:val="007439DC"/>
    <w:rsid w:val="00746535"/>
    <w:rsid w:val="007468F1"/>
    <w:rsid w:val="00746ABA"/>
    <w:rsid w:val="00747ED4"/>
    <w:rsid w:val="007515ED"/>
    <w:rsid w:val="007556E1"/>
    <w:rsid w:val="0076063A"/>
    <w:rsid w:val="007621C5"/>
    <w:rsid w:val="0076488F"/>
    <w:rsid w:val="00776146"/>
    <w:rsid w:val="0078086F"/>
    <w:rsid w:val="00782900"/>
    <w:rsid w:val="007833A7"/>
    <w:rsid w:val="00787E78"/>
    <w:rsid w:val="00793678"/>
    <w:rsid w:val="00794097"/>
    <w:rsid w:val="00795F7B"/>
    <w:rsid w:val="007A139D"/>
    <w:rsid w:val="007A1FD1"/>
    <w:rsid w:val="007A2558"/>
    <w:rsid w:val="007B2802"/>
    <w:rsid w:val="007B2F77"/>
    <w:rsid w:val="007B5443"/>
    <w:rsid w:val="007B613E"/>
    <w:rsid w:val="007B79E2"/>
    <w:rsid w:val="007C37C0"/>
    <w:rsid w:val="007C587F"/>
    <w:rsid w:val="007D06D9"/>
    <w:rsid w:val="007D58CF"/>
    <w:rsid w:val="007D5972"/>
    <w:rsid w:val="007D6638"/>
    <w:rsid w:val="007E3CC6"/>
    <w:rsid w:val="007E54E5"/>
    <w:rsid w:val="007E6A52"/>
    <w:rsid w:val="007F1BF2"/>
    <w:rsid w:val="007F3256"/>
    <w:rsid w:val="007F3B35"/>
    <w:rsid w:val="008007E9"/>
    <w:rsid w:val="00800CD0"/>
    <w:rsid w:val="00803B87"/>
    <w:rsid w:val="00804199"/>
    <w:rsid w:val="00806D7A"/>
    <w:rsid w:val="00807B78"/>
    <w:rsid w:val="00810E1F"/>
    <w:rsid w:val="008117DC"/>
    <w:rsid w:val="00813DE7"/>
    <w:rsid w:val="00815CB3"/>
    <w:rsid w:val="00822AA7"/>
    <w:rsid w:val="00823FE5"/>
    <w:rsid w:val="008243A9"/>
    <w:rsid w:val="008317E5"/>
    <w:rsid w:val="00835A1A"/>
    <w:rsid w:val="008410FB"/>
    <w:rsid w:val="00841881"/>
    <w:rsid w:val="0084500C"/>
    <w:rsid w:val="00845CA5"/>
    <w:rsid w:val="008572ED"/>
    <w:rsid w:val="00857E3A"/>
    <w:rsid w:val="008609B4"/>
    <w:rsid w:val="0087613F"/>
    <w:rsid w:val="00886AD7"/>
    <w:rsid w:val="00892410"/>
    <w:rsid w:val="00895EC4"/>
    <w:rsid w:val="008976E1"/>
    <w:rsid w:val="008A4299"/>
    <w:rsid w:val="008A4477"/>
    <w:rsid w:val="008A52E8"/>
    <w:rsid w:val="008A6387"/>
    <w:rsid w:val="008A7FE8"/>
    <w:rsid w:val="008B006C"/>
    <w:rsid w:val="008B2264"/>
    <w:rsid w:val="008B22EC"/>
    <w:rsid w:val="008B250F"/>
    <w:rsid w:val="008B31D9"/>
    <w:rsid w:val="008B5E07"/>
    <w:rsid w:val="008B6116"/>
    <w:rsid w:val="008C2E12"/>
    <w:rsid w:val="008C33B5"/>
    <w:rsid w:val="008D16BD"/>
    <w:rsid w:val="008D17C1"/>
    <w:rsid w:val="008D42F3"/>
    <w:rsid w:val="008D7A9D"/>
    <w:rsid w:val="008E0EAF"/>
    <w:rsid w:val="008E0EE9"/>
    <w:rsid w:val="008E1813"/>
    <w:rsid w:val="008E22FF"/>
    <w:rsid w:val="008E3343"/>
    <w:rsid w:val="008E7DDF"/>
    <w:rsid w:val="008F32F6"/>
    <w:rsid w:val="008F5BE4"/>
    <w:rsid w:val="008F6741"/>
    <w:rsid w:val="008F72A3"/>
    <w:rsid w:val="008F77C6"/>
    <w:rsid w:val="00901695"/>
    <w:rsid w:val="00904C38"/>
    <w:rsid w:val="00906266"/>
    <w:rsid w:val="00906C38"/>
    <w:rsid w:val="00913D43"/>
    <w:rsid w:val="00927682"/>
    <w:rsid w:val="00931EA6"/>
    <w:rsid w:val="009320D5"/>
    <w:rsid w:val="00932B8E"/>
    <w:rsid w:val="009348D2"/>
    <w:rsid w:val="00934D80"/>
    <w:rsid w:val="0093764E"/>
    <w:rsid w:val="0094127A"/>
    <w:rsid w:val="00943773"/>
    <w:rsid w:val="009447F6"/>
    <w:rsid w:val="00951051"/>
    <w:rsid w:val="009522CE"/>
    <w:rsid w:val="00952AF5"/>
    <w:rsid w:val="009565AF"/>
    <w:rsid w:val="00956D39"/>
    <w:rsid w:val="009571AB"/>
    <w:rsid w:val="00957DC7"/>
    <w:rsid w:val="00962883"/>
    <w:rsid w:val="00964AF1"/>
    <w:rsid w:val="00966C7B"/>
    <w:rsid w:val="009712B1"/>
    <w:rsid w:val="009736E1"/>
    <w:rsid w:val="009761D3"/>
    <w:rsid w:val="00984E3C"/>
    <w:rsid w:val="009909BF"/>
    <w:rsid w:val="00994513"/>
    <w:rsid w:val="00995B1C"/>
    <w:rsid w:val="00995E87"/>
    <w:rsid w:val="009A193B"/>
    <w:rsid w:val="009A22AE"/>
    <w:rsid w:val="009A3BAA"/>
    <w:rsid w:val="009A5D43"/>
    <w:rsid w:val="009A673C"/>
    <w:rsid w:val="009B03F1"/>
    <w:rsid w:val="009B0D7E"/>
    <w:rsid w:val="009C2887"/>
    <w:rsid w:val="009C46F8"/>
    <w:rsid w:val="009C52E6"/>
    <w:rsid w:val="009C67E3"/>
    <w:rsid w:val="009D069D"/>
    <w:rsid w:val="009D299F"/>
    <w:rsid w:val="009D2ECE"/>
    <w:rsid w:val="009D3364"/>
    <w:rsid w:val="009E09EA"/>
    <w:rsid w:val="009E2F82"/>
    <w:rsid w:val="009E45EE"/>
    <w:rsid w:val="009E5EBE"/>
    <w:rsid w:val="009E6142"/>
    <w:rsid w:val="009F1389"/>
    <w:rsid w:val="009F1B2C"/>
    <w:rsid w:val="009F33E3"/>
    <w:rsid w:val="009F3FC2"/>
    <w:rsid w:val="009F4343"/>
    <w:rsid w:val="009F485D"/>
    <w:rsid w:val="009F7E80"/>
    <w:rsid w:val="00A009B2"/>
    <w:rsid w:val="00A01DBE"/>
    <w:rsid w:val="00A03B93"/>
    <w:rsid w:val="00A0696A"/>
    <w:rsid w:val="00A116F3"/>
    <w:rsid w:val="00A1257C"/>
    <w:rsid w:val="00A1296F"/>
    <w:rsid w:val="00A16306"/>
    <w:rsid w:val="00A169D7"/>
    <w:rsid w:val="00A20F64"/>
    <w:rsid w:val="00A23FDB"/>
    <w:rsid w:val="00A25E89"/>
    <w:rsid w:val="00A30E57"/>
    <w:rsid w:val="00A31B7C"/>
    <w:rsid w:val="00A36102"/>
    <w:rsid w:val="00A401EE"/>
    <w:rsid w:val="00A4372A"/>
    <w:rsid w:val="00A471DD"/>
    <w:rsid w:val="00A47D83"/>
    <w:rsid w:val="00A51892"/>
    <w:rsid w:val="00A51BEF"/>
    <w:rsid w:val="00A51CF0"/>
    <w:rsid w:val="00A541E3"/>
    <w:rsid w:val="00A559FB"/>
    <w:rsid w:val="00A60115"/>
    <w:rsid w:val="00A60D91"/>
    <w:rsid w:val="00A61F99"/>
    <w:rsid w:val="00A62DC0"/>
    <w:rsid w:val="00A62F46"/>
    <w:rsid w:val="00A65FDA"/>
    <w:rsid w:val="00A67F22"/>
    <w:rsid w:val="00A8006D"/>
    <w:rsid w:val="00A86351"/>
    <w:rsid w:val="00A87C2B"/>
    <w:rsid w:val="00A91472"/>
    <w:rsid w:val="00A92638"/>
    <w:rsid w:val="00A9321F"/>
    <w:rsid w:val="00A93F78"/>
    <w:rsid w:val="00A97F1A"/>
    <w:rsid w:val="00AA7FD9"/>
    <w:rsid w:val="00AB1B29"/>
    <w:rsid w:val="00AC1CBE"/>
    <w:rsid w:val="00AC6DEC"/>
    <w:rsid w:val="00AC7489"/>
    <w:rsid w:val="00AD1DD3"/>
    <w:rsid w:val="00AD2B31"/>
    <w:rsid w:val="00AD4509"/>
    <w:rsid w:val="00AD6F28"/>
    <w:rsid w:val="00AF275E"/>
    <w:rsid w:val="00AF5335"/>
    <w:rsid w:val="00AF6257"/>
    <w:rsid w:val="00B04BAB"/>
    <w:rsid w:val="00B1655A"/>
    <w:rsid w:val="00B24682"/>
    <w:rsid w:val="00B27123"/>
    <w:rsid w:val="00B275E2"/>
    <w:rsid w:val="00B27AD3"/>
    <w:rsid w:val="00B30FFE"/>
    <w:rsid w:val="00B342D3"/>
    <w:rsid w:val="00B34E45"/>
    <w:rsid w:val="00B34EBA"/>
    <w:rsid w:val="00B42C86"/>
    <w:rsid w:val="00B44098"/>
    <w:rsid w:val="00B443C9"/>
    <w:rsid w:val="00B46671"/>
    <w:rsid w:val="00B57C90"/>
    <w:rsid w:val="00B62098"/>
    <w:rsid w:val="00B64E95"/>
    <w:rsid w:val="00B65198"/>
    <w:rsid w:val="00B6747F"/>
    <w:rsid w:val="00B70081"/>
    <w:rsid w:val="00B708EF"/>
    <w:rsid w:val="00B743EA"/>
    <w:rsid w:val="00B76B2C"/>
    <w:rsid w:val="00B87F86"/>
    <w:rsid w:val="00B9006A"/>
    <w:rsid w:val="00B907EC"/>
    <w:rsid w:val="00B9133F"/>
    <w:rsid w:val="00B93F71"/>
    <w:rsid w:val="00B944EF"/>
    <w:rsid w:val="00B959AB"/>
    <w:rsid w:val="00BA10B3"/>
    <w:rsid w:val="00BA356E"/>
    <w:rsid w:val="00BA55D9"/>
    <w:rsid w:val="00BB62C1"/>
    <w:rsid w:val="00BC1530"/>
    <w:rsid w:val="00BC1EAA"/>
    <w:rsid w:val="00BC33C3"/>
    <w:rsid w:val="00BC4293"/>
    <w:rsid w:val="00BC4A0C"/>
    <w:rsid w:val="00BC5B1A"/>
    <w:rsid w:val="00BD0E7A"/>
    <w:rsid w:val="00BD1EF3"/>
    <w:rsid w:val="00BD23A1"/>
    <w:rsid w:val="00BD27F3"/>
    <w:rsid w:val="00BD2FD9"/>
    <w:rsid w:val="00BD36DA"/>
    <w:rsid w:val="00BD46F3"/>
    <w:rsid w:val="00BD4DF5"/>
    <w:rsid w:val="00BD7640"/>
    <w:rsid w:val="00BD7A22"/>
    <w:rsid w:val="00BE04D4"/>
    <w:rsid w:val="00BE1266"/>
    <w:rsid w:val="00BE3378"/>
    <w:rsid w:val="00BE4F87"/>
    <w:rsid w:val="00BE5C5C"/>
    <w:rsid w:val="00BE71B7"/>
    <w:rsid w:val="00BE7C22"/>
    <w:rsid w:val="00BF0F65"/>
    <w:rsid w:val="00BF2BC6"/>
    <w:rsid w:val="00BF3D78"/>
    <w:rsid w:val="00BF4FEA"/>
    <w:rsid w:val="00C00294"/>
    <w:rsid w:val="00C015CF"/>
    <w:rsid w:val="00C02E72"/>
    <w:rsid w:val="00C03B4D"/>
    <w:rsid w:val="00C1073D"/>
    <w:rsid w:val="00C10BDE"/>
    <w:rsid w:val="00C1122A"/>
    <w:rsid w:val="00C14406"/>
    <w:rsid w:val="00C25ECC"/>
    <w:rsid w:val="00C267FF"/>
    <w:rsid w:val="00C27CC7"/>
    <w:rsid w:val="00C30629"/>
    <w:rsid w:val="00C3353D"/>
    <w:rsid w:val="00C356F4"/>
    <w:rsid w:val="00C35ADB"/>
    <w:rsid w:val="00C3625E"/>
    <w:rsid w:val="00C37C05"/>
    <w:rsid w:val="00C37F9B"/>
    <w:rsid w:val="00C40DAA"/>
    <w:rsid w:val="00C4161F"/>
    <w:rsid w:val="00C447A2"/>
    <w:rsid w:val="00C4570A"/>
    <w:rsid w:val="00C463CB"/>
    <w:rsid w:val="00C47635"/>
    <w:rsid w:val="00C477E4"/>
    <w:rsid w:val="00C50B43"/>
    <w:rsid w:val="00C54480"/>
    <w:rsid w:val="00C545E2"/>
    <w:rsid w:val="00C66ADC"/>
    <w:rsid w:val="00C67790"/>
    <w:rsid w:val="00C67974"/>
    <w:rsid w:val="00C70945"/>
    <w:rsid w:val="00C71071"/>
    <w:rsid w:val="00C71211"/>
    <w:rsid w:val="00C716AA"/>
    <w:rsid w:val="00C72AC4"/>
    <w:rsid w:val="00C803BF"/>
    <w:rsid w:val="00C810CB"/>
    <w:rsid w:val="00C83D78"/>
    <w:rsid w:val="00C90C93"/>
    <w:rsid w:val="00C90EF7"/>
    <w:rsid w:val="00C93DE0"/>
    <w:rsid w:val="00C97852"/>
    <w:rsid w:val="00CA1D58"/>
    <w:rsid w:val="00CA1F62"/>
    <w:rsid w:val="00CA4E54"/>
    <w:rsid w:val="00CA6468"/>
    <w:rsid w:val="00CA785A"/>
    <w:rsid w:val="00CA7AC2"/>
    <w:rsid w:val="00CB2F81"/>
    <w:rsid w:val="00CB6C94"/>
    <w:rsid w:val="00CC0B59"/>
    <w:rsid w:val="00CC6DF7"/>
    <w:rsid w:val="00CD011F"/>
    <w:rsid w:val="00CD0C3C"/>
    <w:rsid w:val="00CD1A59"/>
    <w:rsid w:val="00CD5F5E"/>
    <w:rsid w:val="00CD6108"/>
    <w:rsid w:val="00CD62AF"/>
    <w:rsid w:val="00CD64B3"/>
    <w:rsid w:val="00CD7305"/>
    <w:rsid w:val="00CE30F7"/>
    <w:rsid w:val="00CE36EB"/>
    <w:rsid w:val="00CE5778"/>
    <w:rsid w:val="00CF0BF1"/>
    <w:rsid w:val="00CF2476"/>
    <w:rsid w:val="00CF6639"/>
    <w:rsid w:val="00CF6905"/>
    <w:rsid w:val="00D0418E"/>
    <w:rsid w:val="00D061C5"/>
    <w:rsid w:val="00D07847"/>
    <w:rsid w:val="00D11F72"/>
    <w:rsid w:val="00D13B30"/>
    <w:rsid w:val="00D14F38"/>
    <w:rsid w:val="00D231FD"/>
    <w:rsid w:val="00D2401E"/>
    <w:rsid w:val="00D27C68"/>
    <w:rsid w:val="00D302C4"/>
    <w:rsid w:val="00D320A2"/>
    <w:rsid w:val="00D34DF2"/>
    <w:rsid w:val="00D358AE"/>
    <w:rsid w:val="00D407F9"/>
    <w:rsid w:val="00D40CFF"/>
    <w:rsid w:val="00D41144"/>
    <w:rsid w:val="00D416B4"/>
    <w:rsid w:val="00D437B5"/>
    <w:rsid w:val="00D473A6"/>
    <w:rsid w:val="00D50538"/>
    <w:rsid w:val="00D521B1"/>
    <w:rsid w:val="00D52371"/>
    <w:rsid w:val="00D5425D"/>
    <w:rsid w:val="00D54EF9"/>
    <w:rsid w:val="00D555AF"/>
    <w:rsid w:val="00D57411"/>
    <w:rsid w:val="00D605B2"/>
    <w:rsid w:val="00D62411"/>
    <w:rsid w:val="00D643C0"/>
    <w:rsid w:val="00D650EB"/>
    <w:rsid w:val="00D6546F"/>
    <w:rsid w:val="00D675BC"/>
    <w:rsid w:val="00D70504"/>
    <w:rsid w:val="00D7064E"/>
    <w:rsid w:val="00D7173E"/>
    <w:rsid w:val="00D73CA4"/>
    <w:rsid w:val="00D74914"/>
    <w:rsid w:val="00D764E9"/>
    <w:rsid w:val="00D80BC1"/>
    <w:rsid w:val="00D824B7"/>
    <w:rsid w:val="00D82680"/>
    <w:rsid w:val="00D840E8"/>
    <w:rsid w:val="00D84CD2"/>
    <w:rsid w:val="00D84ECE"/>
    <w:rsid w:val="00D928A1"/>
    <w:rsid w:val="00D93A57"/>
    <w:rsid w:val="00D9584E"/>
    <w:rsid w:val="00D96C5B"/>
    <w:rsid w:val="00DA016E"/>
    <w:rsid w:val="00DA1737"/>
    <w:rsid w:val="00DA4969"/>
    <w:rsid w:val="00DA49E7"/>
    <w:rsid w:val="00DA7DD6"/>
    <w:rsid w:val="00DB1457"/>
    <w:rsid w:val="00DB1C0E"/>
    <w:rsid w:val="00DB1DFF"/>
    <w:rsid w:val="00DB531B"/>
    <w:rsid w:val="00DB6863"/>
    <w:rsid w:val="00DC03AD"/>
    <w:rsid w:val="00DC0CD9"/>
    <w:rsid w:val="00DC3A8C"/>
    <w:rsid w:val="00DC41EA"/>
    <w:rsid w:val="00DC51D4"/>
    <w:rsid w:val="00DC5414"/>
    <w:rsid w:val="00DC5EB9"/>
    <w:rsid w:val="00DC6EAB"/>
    <w:rsid w:val="00DC7134"/>
    <w:rsid w:val="00DD283F"/>
    <w:rsid w:val="00DD4550"/>
    <w:rsid w:val="00DD56BE"/>
    <w:rsid w:val="00DD5D8D"/>
    <w:rsid w:val="00DD6971"/>
    <w:rsid w:val="00DD69FD"/>
    <w:rsid w:val="00DD78F2"/>
    <w:rsid w:val="00DE2926"/>
    <w:rsid w:val="00DE69ED"/>
    <w:rsid w:val="00DE74EA"/>
    <w:rsid w:val="00DF1D01"/>
    <w:rsid w:val="00DF54DD"/>
    <w:rsid w:val="00DF6030"/>
    <w:rsid w:val="00DF6E70"/>
    <w:rsid w:val="00E00C54"/>
    <w:rsid w:val="00E01FF8"/>
    <w:rsid w:val="00E032B0"/>
    <w:rsid w:val="00E03C73"/>
    <w:rsid w:val="00E06223"/>
    <w:rsid w:val="00E06688"/>
    <w:rsid w:val="00E07788"/>
    <w:rsid w:val="00E12985"/>
    <w:rsid w:val="00E1573D"/>
    <w:rsid w:val="00E15C37"/>
    <w:rsid w:val="00E1751D"/>
    <w:rsid w:val="00E22CBF"/>
    <w:rsid w:val="00E22EE2"/>
    <w:rsid w:val="00E238D0"/>
    <w:rsid w:val="00E26E43"/>
    <w:rsid w:val="00E32BFB"/>
    <w:rsid w:val="00E364EE"/>
    <w:rsid w:val="00E41DC6"/>
    <w:rsid w:val="00E42DF7"/>
    <w:rsid w:val="00E44E4B"/>
    <w:rsid w:val="00E455AF"/>
    <w:rsid w:val="00E51FB3"/>
    <w:rsid w:val="00E520F6"/>
    <w:rsid w:val="00E53A2A"/>
    <w:rsid w:val="00E5428C"/>
    <w:rsid w:val="00E57572"/>
    <w:rsid w:val="00E62522"/>
    <w:rsid w:val="00E629BB"/>
    <w:rsid w:val="00E64E27"/>
    <w:rsid w:val="00E6592F"/>
    <w:rsid w:val="00E65D8E"/>
    <w:rsid w:val="00E669B0"/>
    <w:rsid w:val="00E67437"/>
    <w:rsid w:val="00E678DE"/>
    <w:rsid w:val="00E71774"/>
    <w:rsid w:val="00E766CF"/>
    <w:rsid w:val="00E76B1A"/>
    <w:rsid w:val="00E84692"/>
    <w:rsid w:val="00E86BD8"/>
    <w:rsid w:val="00E905B7"/>
    <w:rsid w:val="00E95265"/>
    <w:rsid w:val="00E96E9C"/>
    <w:rsid w:val="00EA0189"/>
    <w:rsid w:val="00EA37B4"/>
    <w:rsid w:val="00EA510D"/>
    <w:rsid w:val="00EB19D6"/>
    <w:rsid w:val="00EB3B02"/>
    <w:rsid w:val="00EB6D98"/>
    <w:rsid w:val="00EC538C"/>
    <w:rsid w:val="00ED13E3"/>
    <w:rsid w:val="00ED2945"/>
    <w:rsid w:val="00ED45E2"/>
    <w:rsid w:val="00ED6662"/>
    <w:rsid w:val="00ED6BC0"/>
    <w:rsid w:val="00ED7689"/>
    <w:rsid w:val="00ED7FAA"/>
    <w:rsid w:val="00EE0670"/>
    <w:rsid w:val="00EF0716"/>
    <w:rsid w:val="00EF1923"/>
    <w:rsid w:val="00EF1AC3"/>
    <w:rsid w:val="00EF3CD0"/>
    <w:rsid w:val="00EF73EC"/>
    <w:rsid w:val="00F007E2"/>
    <w:rsid w:val="00F04F6C"/>
    <w:rsid w:val="00F0676E"/>
    <w:rsid w:val="00F07053"/>
    <w:rsid w:val="00F10143"/>
    <w:rsid w:val="00F11D3C"/>
    <w:rsid w:val="00F13477"/>
    <w:rsid w:val="00F14370"/>
    <w:rsid w:val="00F15D3A"/>
    <w:rsid w:val="00F21DE7"/>
    <w:rsid w:val="00F22190"/>
    <w:rsid w:val="00F2284D"/>
    <w:rsid w:val="00F253D2"/>
    <w:rsid w:val="00F25522"/>
    <w:rsid w:val="00F2661C"/>
    <w:rsid w:val="00F338D0"/>
    <w:rsid w:val="00F33D11"/>
    <w:rsid w:val="00F340E0"/>
    <w:rsid w:val="00F34A4F"/>
    <w:rsid w:val="00F40494"/>
    <w:rsid w:val="00F433F2"/>
    <w:rsid w:val="00F50563"/>
    <w:rsid w:val="00F50886"/>
    <w:rsid w:val="00F50A9F"/>
    <w:rsid w:val="00F52A7B"/>
    <w:rsid w:val="00F52F34"/>
    <w:rsid w:val="00F53E0E"/>
    <w:rsid w:val="00F5436E"/>
    <w:rsid w:val="00F54372"/>
    <w:rsid w:val="00F55C05"/>
    <w:rsid w:val="00F612E1"/>
    <w:rsid w:val="00F63DA3"/>
    <w:rsid w:val="00F65A25"/>
    <w:rsid w:val="00F67A42"/>
    <w:rsid w:val="00F75449"/>
    <w:rsid w:val="00F7755C"/>
    <w:rsid w:val="00F77789"/>
    <w:rsid w:val="00F803D5"/>
    <w:rsid w:val="00F8228D"/>
    <w:rsid w:val="00F82CC7"/>
    <w:rsid w:val="00F834DF"/>
    <w:rsid w:val="00F92D4C"/>
    <w:rsid w:val="00F9780C"/>
    <w:rsid w:val="00FA0573"/>
    <w:rsid w:val="00FA3155"/>
    <w:rsid w:val="00FA55AD"/>
    <w:rsid w:val="00FA6806"/>
    <w:rsid w:val="00FB2F2A"/>
    <w:rsid w:val="00FB387B"/>
    <w:rsid w:val="00FB3BD6"/>
    <w:rsid w:val="00FB6DFC"/>
    <w:rsid w:val="00FC0F33"/>
    <w:rsid w:val="00FC1708"/>
    <w:rsid w:val="00FC24C1"/>
    <w:rsid w:val="00FC2829"/>
    <w:rsid w:val="00FD247F"/>
    <w:rsid w:val="00FD2CDC"/>
    <w:rsid w:val="00FD5C24"/>
    <w:rsid w:val="00FE113B"/>
    <w:rsid w:val="00FE18D2"/>
    <w:rsid w:val="00FE40DB"/>
    <w:rsid w:val="00FE479D"/>
    <w:rsid w:val="00FE6D17"/>
    <w:rsid w:val="00FE7596"/>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7AFCB2"/>
  <w15:chartTrackingRefBased/>
  <w15:docId w15:val="{3297BBA5-13A1-40BE-AC19-CF3BDB61A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AF3"/>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0958AF"/>
    <w:pPr>
      <w:numPr>
        <w:numId w:val="41"/>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537396428">
      <w:bodyDiv w:val="1"/>
      <w:marLeft w:val="0"/>
      <w:marRight w:val="0"/>
      <w:marTop w:val="0"/>
      <w:marBottom w:val="0"/>
      <w:divBdr>
        <w:top w:val="none" w:sz="0" w:space="0" w:color="auto"/>
        <w:left w:val="none" w:sz="0" w:space="0" w:color="auto"/>
        <w:bottom w:val="none" w:sz="0" w:space="0" w:color="auto"/>
        <w:right w:val="none" w:sz="0" w:space="0" w:color="auto"/>
      </w:divBdr>
      <w:divsChild>
        <w:div w:id="743262060">
          <w:marLeft w:val="216"/>
          <w:marRight w:val="0"/>
          <w:marTop w:val="240"/>
          <w:marBottom w:val="0"/>
          <w:divBdr>
            <w:top w:val="none" w:sz="0" w:space="0" w:color="auto"/>
            <w:left w:val="none" w:sz="0" w:space="0" w:color="auto"/>
            <w:bottom w:val="none" w:sz="0" w:space="0" w:color="auto"/>
            <w:right w:val="none" w:sz="0" w:space="0" w:color="auto"/>
          </w:divBdr>
        </w:div>
      </w:divsChild>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897860096">
      <w:bodyDiv w:val="1"/>
      <w:marLeft w:val="0"/>
      <w:marRight w:val="0"/>
      <w:marTop w:val="0"/>
      <w:marBottom w:val="0"/>
      <w:divBdr>
        <w:top w:val="none" w:sz="0" w:space="0" w:color="auto"/>
        <w:left w:val="none" w:sz="0" w:space="0" w:color="auto"/>
        <w:bottom w:val="none" w:sz="0" w:space="0" w:color="auto"/>
        <w:right w:val="none" w:sz="0" w:space="0" w:color="auto"/>
      </w:divBdr>
      <w:divsChild>
        <w:div w:id="246774016">
          <w:marLeft w:val="216"/>
          <w:marRight w:val="0"/>
          <w:marTop w:val="240"/>
          <w:marBottom w:val="0"/>
          <w:divBdr>
            <w:top w:val="none" w:sz="0" w:space="0" w:color="auto"/>
            <w:left w:val="none" w:sz="0" w:space="0" w:color="auto"/>
            <w:bottom w:val="none" w:sz="0" w:space="0" w:color="auto"/>
            <w:right w:val="none" w:sz="0" w:space="0" w:color="auto"/>
          </w:divBdr>
        </w:div>
        <w:div w:id="673414057">
          <w:marLeft w:val="562"/>
          <w:marRight w:val="0"/>
          <w:marTop w:val="0"/>
          <w:marBottom w:val="0"/>
          <w:divBdr>
            <w:top w:val="none" w:sz="0" w:space="0" w:color="auto"/>
            <w:left w:val="none" w:sz="0" w:space="0" w:color="auto"/>
            <w:bottom w:val="none" w:sz="0" w:space="0" w:color="auto"/>
            <w:right w:val="none" w:sz="0" w:space="0" w:color="auto"/>
          </w:divBdr>
        </w:div>
        <w:div w:id="942760406">
          <w:marLeft w:val="216"/>
          <w:marRight w:val="0"/>
          <w:marTop w:val="240"/>
          <w:marBottom w:val="0"/>
          <w:divBdr>
            <w:top w:val="none" w:sz="0" w:space="0" w:color="auto"/>
            <w:left w:val="none" w:sz="0" w:space="0" w:color="auto"/>
            <w:bottom w:val="none" w:sz="0" w:space="0" w:color="auto"/>
            <w:right w:val="none" w:sz="0" w:space="0" w:color="auto"/>
          </w:divBdr>
        </w:div>
        <w:div w:id="1464225893">
          <w:marLeft w:val="216"/>
          <w:marRight w:val="0"/>
          <w:marTop w:val="240"/>
          <w:marBottom w:val="0"/>
          <w:divBdr>
            <w:top w:val="none" w:sz="0" w:space="0" w:color="auto"/>
            <w:left w:val="none" w:sz="0" w:space="0" w:color="auto"/>
            <w:bottom w:val="none" w:sz="0" w:space="0" w:color="auto"/>
            <w:right w:val="none" w:sz="0" w:space="0" w:color="auto"/>
          </w:divBdr>
        </w:div>
      </w:divsChild>
    </w:div>
    <w:div w:id="1033388319">
      <w:bodyDiv w:val="1"/>
      <w:marLeft w:val="0"/>
      <w:marRight w:val="0"/>
      <w:marTop w:val="0"/>
      <w:marBottom w:val="0"/>
      <w:divBdr>
        <w:top w:val="none" w:sz="0" w:space="0" w:color="auto"/>
        <w:left w:val="none" w:sz="0" w:space="0" w:color="auto"/>
        <w:bottom w:val="none" w:sz="0" w:space="0" w:color="auto"/>
        <w:right w:val="none" w:sz="0" w:space="0" w:color="auto"/>
      </w:divBdr>
      <w:divsChild>
        <w:div w:id="1867861990">
          <w:marLeft w:val="216"/>
          <w:marRight w:val="0"/>
          <w:marTop w:val="240"/>
          <w:marBottom w:val="0"/>
          <w:divBdr>
            <w:top w:val="none" w:sz="0" w:space="0" w:color="auto"/>
            <w:left w:val="none" w:sz="0" w:space="0" w:color="auto"/>
            <w:bottom w:val="none" w:sz="0" w:space="0" w:color="auto"/>
            <w:right w:val="none" w:sz="0" w:space="0" w:color="auto"/>
          </w:divBdr>
        </w:div>
      </w:divsChild>
    </w:div>
    <w:div w:id="1192842235">
      <w:bodyDiv w:val="1"/>
      <w:marLeft w:val="0"/>
      <w:marRight w:val="0"/>
      <w:marTop w:val="0"/>
      <w:marBottom w:val="0"/>
      <w:divBdr>
        <w:top w:val="none" w:sz="0" w:space="0" w:color="auto"/>
        <w:left w:val="none" w:sz="0" w:space="0" w:color="auto"/>
        <w:bottom w:val="none" w:sz="0" w:space="0" w:color="auto"/>
        <w:right w:val="none" w:sz="0" w:space="0" w:color="auto"/>
      </w:divBdr>
      <w:divsChild>
        <w:div w:id="123931318">
          <w:marLeft w:val="547"/>
          <w:marRight w:val="0"/>
          <w:marTop w:val="0"/>
          <w:marBottom w:val="0"/>
          <w:divBdr>
            <w:top w:val="none" w:sz="0" w:space="0" w:color="auto"/>
            <w:left w:val="none" w:sz="0" w:space="0" w:color="auto"/>
            <w:bottom w:val="none" w:sz="0" w:space="0" w:color="auto"/>
            <w:right w:val="none" w:sz="0" w:space="0" w:color="auto"/>
          </w:divBdr>
        </w:div>
        <w:div w:id="143740696">
          <w:marLeft w:val="1166"/>
          <w:marRight w:val="0"/>
          <w:marTop w:val="0"/>
          <w:marBottom w:val="0"/>
          <w:divBdr>
            <w:top w:val="none" w:sz="0" w:space="0" w:color="auto"/>
            <w:left w:val="none" w:sz="0" w:space="0" w:color="auto"/>
            <w:bottom w:val="none" w:sz="0" w:space="0" w:color="auto"/>
            <w:right w:val="none" w:sz="0" w:space="0" w:color="auto"/>
          </w:divBdr>
        </w:div>
        <w:div w:id="562763996">
          <w:marLeft w:val="1166"/>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500976243">
          <w:marLeft w:val="216"/>
          <w:marRight w:val="0"/>
          <w:marTop w:val="24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690132823">
          <w:marLeft w:val="216"/>
          <w:marRight w:val="0"/>
          <w:marTop w:val="24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305542926">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1354274">
      <w:bodyDiv w:val="1"/>
      <w:marLeft w:val="0"/>
      <w:marRight w:val="0"/>
      <w:marTop w:val="0"/>
      <w:marBottom w:val="0"/>
      <w:divBdr>
        <w:top w:val="none" w:sz="0" w:space="0" w:color="auto"/>
        <w:left w:val="none" w:sz="0" w:space="0" w:color="auto"/>
        <w:bottom w:val="none" w:sz="0" w:space="0" w:color="auto"/>
        <w:right w:val="none" w:sz="0" w:space="0" w:color="auto"/>
      </w:divBdr>
      <w:divsChild>
        <w:div w:id="204753733">
          <w:marLeft w:val="562"/>
          <w:marRight w:val="0"/>
          <w:marTop w:val="0"/>
          <w:marBottom w:val="0"/>
          <w:divBdr>
            <w:top w:val="none" w:sz="0" w:space="0" w:color="auto"/>
            <w:left w:val="none" w:sz="0" w:space="0" w:color="auto"/>
            <w:bottom w:val="none" w:sz="0" w:space="0" w:color="auto"/>
            <w:right w:val="none" w:sz="0" w:space="0" w:color="auto"/>
          </w:divBdr>
        </w:div>
        <w:div w:id="784235414">
          <w:marLeft w:val="562"/>
          <w:marRight w:val="0"/>
          <w:marTop w:val="0"/>
          <w:marBottom w:val="0"/>
          <w:divBdr>
            <w:top w:val="none" w:sz="0" w:space="0" w:color="auto"/>
            <w:left w:val="none" w:sz="0" w:space="0" w:color="auto"/>
            <w:bottom w:val="none" w:sz="0" w:space="0" w:color="auto"/>
            <w:right w:val="none" w:sz="0" w:space="0" w:color="auto"/>
          </w:divBdr>
        </w:div>
        <w:div w:id="925186485">
          <w:marLeft w:val="216"/>
          <w:marRight w:val="0"/>
          <w:marTop w:val="240"/>
          <w:marBottom w:val="0"/>
          <w:divBdr>
            <w:top w:val="none" w:sz="0" w:space="0" w:color="auto"/>
            <w:left w:val="none" w:sz="0" w:space="0" w:color="auto"/>
            <w:bottom w:val="none" w:sz="0" w:space="0" w:color="auto"/>
            <w:right w:val="none" w:sz="0" w:space="0" w:color="auto"/>
          </w:divBdr>
        </w:div>
        <w:div w:id="957956744">
          <w:marLeft w:val="216"/>
          <w:marRight w:val="0"/>
          <w:marTop w:val="240"/>
          <w:marBottom w:val="0"/>
          <w:divBdr>
            <w:top w:val="none" w:sz="0" w:space="0" w:color="auto"/>
            <w:left w:val="none" w:sz="0" w:space="0" w:color="auto"/>
            <w:bottom w:val="none" w:sz="0" w:space="0" w:color="auto"/>
            <w:right w:val="none" w:sz="0" w:space="0" w:color="auto"/>
          </w:divBdr>
        </w:div>
        <w:div w:id="1743213136">
          <w:marLeft w:val="562"/>
          <w:marRight w:val="0"/>
          <w:marTop w:val="0"/>
          <w:marBottom w:val="0"/>
          <w:divBdr>
            <w:top w:val="none" w:sz="0" w:space="0" w:color="auto"/>
            <w:left w:val="none" w:sz="0" w:space="0" w:color="auto"/>
            <w:bottom w:val="none" w:sz="0" w:space="0" w:color="auto"/>
            <w:right w:val="none" w:sz="0" w:space="0" w:color="auto"/>
          </w:divBdr>
        </w:div>
      </w:divsChild>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48533113">
      <w:bodyDiv w:val="1"/>
      <w:marLeft w:val="0"/>
      <w:marRight w:val="0"/>
      <w:marTop w:val="0"/>
      <w:marBottom w:val="0"/>
      <w:divBdr>
        <w:top w:val="none" w:sz="0" w:space="0" w:color="auto"/>
        <w:left w:val="none" w:sz="0" w:space="0" w:color="auto"/>
        <w:bottom w:val="none" w:sz="0" w:space="0" w:color="auto"/>
        <w:right w:val="none" w:sz="0" w:space="0" w:color="auto"/>
      </w:divBdr>
      <w:divsChild>
        <w:div w:id="394202612">
          <w:marLeft w:val="216"/>
          <w:marRight w:val="0"/>
          <w:marTop w:val="240"/>
          <w:marBottom w:val="0"/>
          <w:divBdr>
            <w:top w:val="none" w:sz="0" w:space="0" w:color="auto"/>
            <w:left w:val="none" w:sz="0" w:space="0" w:color="auto"/>
            <w:bottom w:val="none" w:sz="0" w:space="0" w:color="auto"/>
            <w:right w:val="none" w:sz="0" w:space="0" w:color="auto"/>
          </w:divBdr>
        </w:div>
      </w:divsChild>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HR33RHYHUWRF-507899316-19129</_dlc_DocId>
    <_dlc_DocIdUrl xmlns="ca125759-a0e7-4469-93e0-e34bba23bda5">
      <Url>https://qualcomm.sharepoint.com/teams/pentari/_layouts/15/DocIdRedir.aspx?ID=HR33RHYHUWRF-507899316-19129</Url>
      <Description>HR33RHYHUWRF-507899316-19129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F67A2B28-C5E4-4B0D-8D99-9CCAE99DA6AF}">
  <ds:schemaRefs>
    <ds:schemaRef ds:uri="http://schemas.openxmlformats.org/officeDocument/2006/bibliography"/>
  </ds:schemaRefs>
</ds:datastoreItem>
</file>

<file path=customXml/itemProps2.xml><?xml version="1.0" encoding="utf-8"?>
<ds:datastoreItem xmlns:ds="http://schemas.openxmlformats.org/officeDocument/2006/customXml" ds:itemID="{4E43B115-83B3-4924-8108-5D46E2F9F56C}">
  <ds:schemaRefs>
    <ds:schemaRef ds:uri="http://www.w3.org/XML/1998/namespace"/>
    <ds:schemaRef ds:uri="http://purl.org/dc/dcmitype/"/>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943a219e-757a-436b-9054-f071e3c84dcc"/>
    <ds:schemaRef ds:uri="ca125759-a0e7-4469-93e0-e34bba23bda5"/>
  </ds:schemaRefs>
</ds:datastoreItem>
</file>

<file path=customXml/itemProps3.xml><?xml version="1.0" encoding="utf-8"?>
<ds:datastoreItem xmlns:ds="http://schemas.openxmlformats.org/officeDocument/2006/customXml" ds:itemID="{8774E56A-9745-4957-BB98-6BC4E953E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EA10A3-2EE7-4C72-9B94-5AB7613241BC}">
  <ds:schemaRefs>
    <ds:schemaRef ds:uri="http://schemas.microsoft.com/sharepoint/events"/>
  </ds:schemaRefs>
</ds:datastoreItem>
</file>

<file path=customXml/itemProps5.xml><?xml version="1.0" encoding="utf-8"?>
<ds:datastoreItem xmlns:ds="http://schemas.openxmlformats.org/officeDocument/2006/customXml" ds:itemID="{7FD08D63-EAF2-4690-BDCF-FA602D2DB9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2416</Words>
  <Characters>13772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Mahmoud Taherzadeh Boroujeni</cp:lastModifiedBy>
  <cp:revision>2</cp:revision>
  <dcterms:created xsi:type="dcterms:W3CDTF">2021-11-05T22:51:00Z</dcterms:created>
  <dcterms:modified xsi:type="dcterms:W3CDTF">2021-11-05T22:51:00Z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ef6bc3e6-46e3-433b-95ca-a928efca3b48</vt:lpwstr>
  </property>
</Properties>
</file>